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MAKUCoverCountry"/>
      </w:pPr>
      <w:r>
        <w:t xml:space="preserve">REPUBLIC OF TÜRKİYE</w:t>
      </w:r>
    </w:p>
    <w:p>
      <w:pPr>
        <w:pStyle w:val="MAKUCoverInstitution"/>
      </w:pPr>
      <w:r>
        <w:t xml:space="preserve">BURDUR MEHMET AKIF ERSOY UNIVERSITY - FACULTY OF EDUCATION</w:t>
      </w:r>
    </w:p>
    <w:p>
      <w:pPr>
        <w:pStyle w:val="MAKUCoverUnit"/>
      </w:pPr>
      <w:r>
        <w:t xml:space="preserve">DEPARTMENT OF FOREIGN LANGUAGE EDUCATION - ELT PROGRAM</w:t>
      </w:r>
    </w:p>
    <w:p>
      <w:pPr>
        <w:pStyle w:val="Title"/>
        <w:pBdr>
          <w:top w:val="single" w:sz="8" w:space="8" w:color="7F7F7F"/>
          <w:bottom w:val="single" w:sz="8" w:space="8" w:color="7F7F7F"/>
        </w:pBdr>
      </w:pPr>
      <w:r>
        <w:t xml:space="preserve">TEACHING PRACTICUM HANDBOOK (I &amp; II)</w:t>
      </w:r>
    </w:p>
    <w:p>
      <w:pPr>
        <w:pStyle w:val="MAKUCoverMeta"/>
      </w:pPr>
      <w:r>
        <w:t xml:space="preserve">BURDUR — 2026</w:t>
      </w:r>
      <w:r>
        <w:br w:type="page"/>
      </w:r>
    </w:p>
    <w:p>
      <w:pPr>
        <w:pStyle w:val="Heading1"/>
        <w:pBdr>
          <w:bottom w:val="single" w:sz="6" w:space="4" w:color="7F7F7F"/>
        </w:pBdr>
      </w:pPr>
      <w:r>
        <w:t xml:space="preserve">SECTION I: PURPOSE, SCOPE, LEGAL BASIS &amp; DEFINITIONS</w:t>
      </w:r>
    </w:p>
    <w:p>
      <w:pPr>
        <w:pStyle w:val="Heading2"/>
      </w:pPr>
      <w:r>
        <w:t xml:space="preserve">1.1. Purpose</w:t>
      </w:r>
    </w:p>
    <w:p>
      <w:pPr/>
      <w:r>
        <w:t xml:space="preserve">The primary purpose of this handbook is to guide pre-service teachers enrolled in the English Language Teaching (ELT) Program at Burdur Mehmet Akif Ersoy University Faculty of Education in translating their theoretical, methodological, pedagogical, and ethical competencies into effective classroom practice within primary and secondary schools affiliated with the Ministry of National Education (MoNE). The handbook aims to prepare student-teachers as reflective, qualified, autonomous, and virtuous English language educators in alignment with contemporary language pedagogy (CEFR, Communicative and Task-Based Language Teaching) and the principles of the Türkiye Century Maarif Model (TYMM).</w:t>
      </w:r>
    </w:p>
    <w:p>
      <w:pPr>
        <w:pStyle w:val="Heading2"/>
      </w:pPr>
      <w:r>
        <w:t xml:space="preserve">1.2. Scope</w:t>
      </w:r>
    </w:p>
    <w:p>
      <w:pPr/>
      <w:r>
        <w:t xml:space="preserve">This handbook encompasses the planning, execution, hierarchical progression, monitoring, assessment, and portfolio evaluation of the 'Teaching Practicum I' and 'Teaching Practicum II' courses within the ELT undergraduate curriculum. It explicitly defines the roles, responsibilities, and procedural guidelines for all key stakeholders, including the Faculty Administration, Department Practicum Coordination, University Supervisors, Directorate of National Education, Cooperating School Coordinators, Mentor Teachers, and Pre-Service Teachers.</w:t>
      </w:r>
    </w:p>
    <w:p>
      <w:pPr>
        <w:pStyle w:val="Heading2"/>
      </w:pPr>
      <w:r>
        <w:t xml:space="preserve">1.3. Legal &amp; Institutional Basis</w:t>
      </w:r>
    </w:p>
    <w:p>
      <w:pPr/>
      <w:r>
        <w:t xml:space="preserve">This handbook is grounded in the following statutory, regulatory, and institutional frameworks:</w:t>
      </w:r>
    </w:p>
    <w:p>
      <w:pPr>
        <w:pStyle w:val="MAKUBullet"/>
      </w:pPr>
      <w:r>
        <w:t xml:space="preserve">• National Education Basic Law No. 1739</w:t>
      </w:r>
    </w:p>
    <w:p>
      <w:pPr>
        <w:pStyle w:val="MAKUBullet"/>
      </w:pPr>
      <w:r>
        <w:t xml:space="preserve">• Teaching Profession Law No. 7528</w:t>
      </w:r>
    </w:p>
    <w:p>
      <w:pPr>
        <w:pStyle w:val="MAKUBullet"/>
      </w:pPr>
      <w:r>
        <w:t xml:space="preserve">• Higher Education Law No. 2547</w:t>
      </w:r>
    </w:p>
    <w:p>
      <w:pPr>
        <w:pStyle w:val="MAKUBullet"/>
      </w:pPr>
      <w:r>
        <w:t xml:space="preserve">• MoNE General Directorate of Teacher Training and Development 'Directive on Teaching Practicum of Student-Teachers in Educational Institutions'</w:t>
      </w:r>
    </w:p>
    <w:p>
      <w:pPr>
        <w:pStyle w:val="MAKUBullet"/>
      </w:pPr>
      <w:r>
        <w:t xml:space="preserve">• Ministry of National Education (2024) Türkiye Century Maarif Model Common Text &amp; English Curriculum Framework</w:t>
      </w:r>
    </w:p>
    <w:p>
      <w:pPr>
        <w:pStyle w:val="MAKUBullet"/>
      </w:pPr>
      <w:r>
        <w:t xml:space="preserve">• Law on the Protection of Personal Data No. 6698 (KVKK/GDPR)</w:t>
      </w:r>
    </w:p>
    <w:p>
      <w:pPr>
        <w:pStyle w:val="MAKUBullet"/>
      </w:pPr>
      <w:r>
        <w:t xml:space="preserve">• MAKÜ Faculty of Education Dean's Office Official Directive dated 13.11.2025 (Ref: E-63992639-051-591369) on 'Practicum I &amp; II Course Progression and Learning Outcomes Alignment'</w:t>
      </w:r>
    </w:p>
    <w:p>
      <w:pPr>
        <w:pStyle w:val="Heading2"/>
      </w:pPr>
      <w:r>
        <w:t xml:space="preserve">1.4. Definitions &amp; Conceptual Terminology</w:t>
      </w:r>
    </w:p>
    <w:p>
      <w:pPr>
        <w:pStyle w:val="MAKUBullet"/>
      </w:pPr>
      <w:r>
        <w:t xml:space="preserve">• Faculty Practicum Coordinator: The Vice Dean responsible for organizing and supervising practicum operations across the faculty.</w:t>
      </w:r>
    </w:p>
    <w:p>
      <w:pPr>
        <w:pStyle w:val="MAKUBullet"/>
      </w:pPr>
      <w:r>
        <w:t xml:space="preserve">• Department Practicum Coordinator: The ELT faculty member who organizes school placements, schedules, and operational alignment.</w:t>
      </w:r>
    </w:p>
    <w:p>
      <w:pPr>
        <w:pStyle w:val="MAKUBullet"/>
      </w:pPr>
      <w:r>
        <w:t xml:space="preserve">• University Practicum Supervisor: The academic staff member who delivers theoretical seminar sessions, observes student-teachers in cooperating schools, and conducts assessment.</w:t>
      </w:r>
    </w:p>
    <w:p>
      <w:pPr>
        <w:pStyle w:val="MAKUBullet"/>
      </w:pPr>
      <w:r>
        <w:t xml:space="preserve">• Mentor / Cooperating Teacher: The certified English teacher at the host school who mentors student-teachers, observes lessons, and submits evaluative scores into the MEBBİS/UOD portal.</w:t>
      </w:r>
    </w:p>
    <w:p>
      <w:pPr>
        <w:pStyle w:val="MAKUBullet"/>
      </w:pPr>
      <w:r>
        <w:t xml:space="preserve">• Student-Teacher (Pre-Service Teacher): The senior undergraduate student carrying out school-based teaching practice.</w:t>
      </w:r>
    </w:p>
    <w:p>
      <w:pPr>
        <w:pStyle w:val="MAKUBullet"/>
      </w:pPr>
      <w:r>
        <w:t xml:space="preserve">• CEFR (Common European Framework of Reference for Languages): The international standard for describing language proficiency through action-oriented 'Can-Do' descriptors.</w:t>
      </w:r>
    </w:p>
    <w:p>
      <w:pPr>
        <w:pStyle w:val="MAKUBullet"/>
      </w:pPr>
      <w:r>
        <w:t xml:space="preserve">• STT (Student Talking Time) / TTT (Teacher Talking Time): The pedagogical balance between active student speech (target: &gt;= 70%) and teacher talk time.</w:t>
      </w:r>
    </w:p>
    <w:p>
      <w:pPr>
        <w:pStyle w:val="MAKUBullet"/>
      </w:pPr>
      <w:r>
        <w:t xml:space="preserve">• PPP (Presentation, Practice, Production): The instructional framework structuring lessons through Presentation, Controlled Practice, and Free Production.</w:t>
      </w:r>
    </w:p>
    <w:p>
      <w:pPr>
        <w:pStyle w:val="MAKUBullet"/>
      </w:pPr>
      <w:r>
        <w:t xml:space="preserve">• TBLT (Task-Based Language Teaching): An approach prioritizing communicative problem-solving tasks over discrete grammar presentation.</w:t>
      </w:r>
    </w:p>
    <w:p>
      <w:pPr>
        <w:pStyle w:val="MAKUBullet"/>
      </w:pPr>
      <w:r>
        <w:t xml:space="preserve">• FMP (Form, Meaning, Pronunciation): The tripartite model ensuring grammatical structures and lexical items are taught holistically.</w:t>
      </w:r>
    </w:p>
    <w:p>
      <w:pPr>
        <w:pStyle w:val="MAKUBullet"/>
      </w:pPr>
      <w:r>
        <w:t xml:space="preserve">• CCQ / ICQ (Concept &amp; Instruction Checking Questions): Focused questioning techniques to verify conceptual comprehension and task directions without relying on native language (L1) translation.</w:t>
      </w:r>
    </w:p>
    <w:p>
      <w:pPr>
        <w:pStyle w:val="MAKUBullet"/>
      </w:pPr>
      <w:r>
        <w:t xml:space="preserve">• UDL (Universal Design for Learning): An instructional framework providing multiple means of representation, engagement, and expression for inclusive education.</w:t>
      </w:r>
    </w:p>
    <w:p>
      <w:pPr>
        <w:pStyle w:val="MAKUBullet"/>
      </w:pPr>
      <w:r>
        <w:t xml:space="preserve">• TYMM (Türkiye Century Maarif Model): The holistic national curriculum framework fostering competent and virtuous individuals through integrated skill and virtue-value-action development.</w:t>
      </w:r>
    </w:p>
    <w:p>
      <w:pPr>
        <w:pStyle w:val="Heading1"/>
        <w:pBdr>
          <w:bottom w:val="single" w:sz="6" w:space="4" w:color="7F7F7F"/>
        </w:pBdr>
      </w:pPr>
      <w:r>
        <w:t xml:space="preserve">SECTION II: STAKEHOLDER ROLES AND RESPONSIBILITIES</w:t>
      </w:r>
    </w:p>
    <w:tbl>
      <w:tblPr>
        <w:tblW w:w="9978" w:type="dxa"/>
        <w:jc w:val="left"/>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Ind w:type="dxa" w:w="120"/>
      </w:tblPr>
      <w:tblGrid>
        <w:gridCol w:w="2408"/>
        <w:gridCol w:w="7570"/>
      </w:tblGrid>
      <w:tr>
        <w:trPr>
          <w:tblHeader w:val="true"/>
          <w:cantSplit w:val="true"/>
        </w:trPr>
        <w:tc>
          <w:tcPr>
            <w:tcW w:w="2408" w:type="dxa"/>
            <w:shd w:val="clear" w:color="auto" w:fill="3F3F3F"/>
            <w:tcMar>
              <w:top w:w="90" w:type="dxa"/>
              <w:bottom w:w="90" w:type="dxa"/>
              <w:start w:w="120" w:type="dxa"/>
              <w:end w:w="120" w:type="dxa"/>
            </w:tcMar>
            <w:vAlign w:val="center"/>
          </w:tcPr>
          <w:p>
            <w:pPr>
              <w:pStyle w:val="MAKUTableHeader"/>
              <w:jc w:val="center"/>
              <w:keepNext/>
            </w:pPr>
            <w:r>
              <w:t>Stakeholder</w:t>
            </w:r>
          </w:p>
        </w:tc>
        <w:tc>
          <w:tcPr>
            <w:tcW w:w="7570" w:type="dxa"/>
            <w:shd w:val="clear" w:color="auto" w:fill="3F3F3F"/>
            <w:tcMar>
              <w:top w:w="90" w:type="dxa"/>
              <w:bottom w:w="90" w:type="dxa"/>
              <w:start w:w="120" w:type="dxa"/>
              <w:end w:w="120" w:type="dxa"/>
            </w:tcMar>
            <w:vAlign w:val="center"/>
          </w:tcPr>
          <w:p>
            <w:pPr>
              <w:pStyle w:val="MAKUTableHeader"/>
              <w:jc w:val="center"/>
              <w:keepNext/>
            </w:pPr>
            <w:r>
              <w:t>Core Duties and Responsibilities</w:t>
            </w:r>
          </w:p>
        </w:tc>
      </w:tr>
      <w:tr>
        <w:trPr>
          <w:cantSplit w:val="true"/>
        </w:trPr>
        <w:tc>
          <w:tcPr>
            <w:tcW w:w="2408" w:type="dxa"/>
            <w:shd w:val="clear" w:color="auto" w:fill="FFFFFF"/>
            <w:tcMar>
              <w:top w:w="90" w:type="dxa"/>
              <w:bottom w:w="90" w:type="dxa"/>
              <w:start w:w="120" w:type="dxa"/>
              <w:end w:w="120" w:type="dxa"/>
            </w:tcMar>
            <w:vAlign w:val="center"/>
          </w:tcPr>
          <w:p>
            <w:pPr>
              <w:pStyle w:val="MAKUTableLabel"/>
              <w:jc w:val="left"/>
              <w:keepNext/>
            </w:pPr>
            <w:r>
              <w:t xml:space="preserve">Department Practicum Coordinator</w:t>
            </w:r>
          </w:p>
        </w:tc>
        <w:tc>
          <w:tcPr>
            <w:tcW w:w="7570" w:type="dxa"/>
            <w:shd w:val="clear" w:color="auto" w:fill="FFFFFF"/>
            <w:tcMar>
              <w:top w:w="90" w:type="dxa"/>
              <w:bottom w:w="90" w:type="dxa"/>
              <w:start w:w="120" w:type="dxa"/>
              <w:end w:w="120" w:type="dxa"/>
            </w:tcMar>
            <w:vAlign w:val="center"/>
          </w:tcPr>
          <w:p>
            <w:pPr>
              <w:pStyle w:val="MAKUTableBullet"/>
              <w:jc w:val="left"/>
              <w:keepNext/>
            </w:pPr>
            <w:r>
              <w:t xml:space="preserve">• Manages school allocations and supervisor assignments.</w:t>
            </w:r>
          </w:p>
          <w:p>
            <w:pPr>
              <w:pStyle w:val="MAKUTableBullet"/>
              <w:jc w:val="left"/>
              <w:keepNext/>
            </w:pPr>
            <w:r>
              <w:t xml:space="preserve">• Prepares the semester practicum timeline and handbook guidelines.</w:t>
            </w:r>
          </w:p>
          <w:p>
            <w:pPr>
              <w:pStyle w:val="MAKUTableBullet"/>
              <w:jc w:val="left"/>
              <w:keepNext/>
            </w:pPr>
            <w:r>
              <w:t xml:space="preserve">• Ensures seamless coordination between the Dean's Office, Provincial Directorate, and school coordinators.</w:t>
            </w:r>
          </w:p>
          <w:p>
            <w:pPr>
              <w:pStyle w:val="MAKUTableBullet"/>
              <w:jc w:val="left"/>
              <w:keepNext/>
            </w:pPr>
            <w:r>
              <w:t xml:space="preserve">• Monitors quality assurance and resolves operational disputes.</w:t>
            </w:r>
          </w:p>
        </w:tc>
      </w:tr>
      <w:tr>
        <w:trPr>
          <w:cantSplit w:val="true"/>
        </w:trPr>
        <w:tc>
          <w:tcPr>
            <w:tcW w:w="2408" w:type="dxa"/>
            <w:shd w:val="clear" w:color="auto" w:fill="F2F2F2"/>
            <w:tcMar>
              <w:top w:w="90" w:type="dxa"/>
              <w:bottom w:w="90" w:type="dxa"/>
              <w:start w:w="120" w:type="dxa"/>
              <w:end w:w="120" w:type="dxa"/>
            </w:tcMar>
            <w:vAlign w:val="center"/>
          </w:tcPr>
          <w:p>
            <w:pPr>
              <w:pStyle w:val="MAKUTableLabel"/>
              <w:jc w:val="left"/>
              <w:keepNext/>
            </w:pPr>
            <w:r>
              <w:t xml:space="preserve">University Practicum Supervisor</w:t>
            </w:r>
          </w:p>
        </w:tc>
        <w:tc>
          <w:tcPr>
            <w:tcW w:w="7570" w:type="dxa"/>
            <w:shd w:val="clear" w:color="auto" w:fill="F2F2F2"/>
            <w:tcMar>
              <w:top w:w="90" w:type="dxa"/>
              <w:bottom w:w="90" w:type="dxa"/>
              <w:start w:w="120" w:type="dxa"/>
              <w:end w:w="120" w:type="dxa"/>
            </w:tcMar>
            <w:vAlign w:val="center"/>
          </w:tcPr>
          <w:p>
            <w:pPr>
              <w:pStyle w:val="MAKUTableBullet"/>
              <w:jc w:val="left"/>
              <w:keepNext/>
            </w:pPr>
            <w:r>
              <w:t xml:space="preserve">• Conducts weekly 2-hour theoretical seminar sessions and pedagogical mentoring.</w:t>
            </w:r>
          </w:p>
          <w:p>
            <w:pPr>
              <w:pStyle w:val="MAKUTableBullet"/>
              <w:jc w:val="left"/>
              <w:keepNext/>
            </w:pPr>
            <w:r>
              <w:t xml:space="preserve">• Reviews, provides feedback, and approves lesson plans at least one week prior to delivery.</w:t>
            </w:r>
          </w:p>
          <w:p>
            <w:pPr>
              <w:pStyle w:val="MAKUTableBullet"/>
              <w:jc w:val="left"/>
              <w:keepNext/>
            </w:pPr>
            <w:r>
              <w:t xml:space="preserve">• Formally observes each student-teacher in the classroom at least twice per semester.</w:t>
            </w:r>
          </w:p>
          <w:p>
            <w:pPr>
              <w:pStyle w:val="MAKUTableBullet"/>
              <w:jc w:val="left"/>
              <w:keepNext/>
            </w:pPr>
            <w:r>
              <w:t xml:space="preserve">• Conducts three-way post-observation debriefing sessions with the student-teacher and mentor.</w:t>
            </w:r>
          </w:p>
          <w:p>
            <w:pPr>
              <w:pStyle w:val="MAKUTableBullet"/>
              <w:jc w:val="left"/>
              <w:keepNext/>
            </w:pPr>
            <w:r>
              <w:t xml:space="preserve">• Punctually enters official MEBBİS/UOD scores and evaluates the developmental portfolio.</w:t>
            </w:r>
          </w:p>
        </w:tc>
      </w:tr>
      <w:tr>
        <w:trPr>
          <w:cantSplit w:val="true"/>
        </w:trPr>
        <w:tc>
          <w:tcPr>
            <w:tcW w:w="2408" w:type="dxa"/>
            <w:shd w:val="clear" w:color="auto" w:fill="FFFFFF"/>
            <w:tcMar>
              <w:top w:w="90" w:type="dxa"/>
              <w:bottom w:w="90" w:type="dxa"/>
              <w:start w:w="120" w:type="dxa"/>
              <w:end w:w="120" w:type="dxa"/>
            </w:tcMar>
            <w:vAlign w:val="center"/>
          </w:tcPr>
          <w:p>
            <w:pPr>
              <w:pStyle w:val="MAKUTableLabel"/>
              <w:jc w:val="left"/>
              <w:keepNext/>
            </w:pPr>
            <w:r>
              <w:t xml:space="preserve">Mentor / Cooperating Teacher</w:t>
            </w:r>
          </w:p>
        </w:tc>
        <w:tc>
          <w:tcPr>
            <w:tcW w:w="7570" w:type="dxa"/>
            <w:shd w:val="clear" w:color="auto" w:fill="FFFFFF"/>
            <w:tcMar>
              <w:top w:w="90" w:type="dxa"/>
              <w:bottom w:w="90" w:type="dxa"/>
              <w:start w:w="120" w:type="dxa"/>
              <w:end w:w="120" w:type="dxa"/>
            </w:tcMar>
            <w:vAlign w:val="center"/>
          </w:tcPr>
          <w:p>
            <w:pPr>
              <w:pStyle w:val="MAKUTableBullet"/>
              <w:jc w:val="left"/>
              <w:keepNext/>
            </w:pPr>
            <w:r>
              <w:t xml:space="preserve">• Introduces the student-teacher to school administration, policies, and classroom dynamics.</w:t>
            </w:r>
          </w:p>
          <w:p>
            <w:pPr>
              <w:pStyle w:val="MAKUTableBullet"/>
              <w:jc w:val="left"/>
              <w:keepNext/>
            </w:pPr>
            <w:r>
              <w:t xml:space="preserve">• Reviews lesson plans to ensure alignment with the national syllabus and student level.</w:t>
            </w:r>
          </w:p>
          <w:p>
            <w:pPr>
              <w:pStyle w:val="MAKUTableBullet"/>
              <w:jc w:val="left"/>
              <w:keepNext/>
            </w:pPr>
            <w:r>
              <w:t xml:space="preserve">• Observes every taught lesson and provides constructive verbal and written feedback.</w:t>
            </w:r>
          </w:p>
          <w:p>
            <w:pPr>
              <w:pStyle w:val="MAKUTableBullet"/>
              <w:jc w:val="left"/>
              <w:keepNext/>
            </w:pPr>
            <w:r>
              <w:t xml:space="preserve">• Regularly signs weekly practicum attendance sheets.</w:t>
            </w:r>
          </w:p>
          <w:p>
            <w:pPr>
              <w:pStyle w:val="MAKUTableBullet"/>
              <w:jc w:val="left"/>
              <w:keepNext/>
            </w:pPr>
            <w:r>
              <w:t xml:space="preserve">• Evaluates lesson performance and inputs official grades into the MEBBİS/UOD system.</w:t>
            </w:r>
          </w:p>
        </w:tc>
      </w:tr>
      <w:tr>
        <w:trPr>
          <w:cantSplit w:val="true"/>
        </w:trPr>
        <w:tc>
          <w:tcPr>
            <w:tcW w:w="2408" w:type="dxa"/>
            <w:shd w:val="clear" w:color="auto" w:fill="F2F2F2"/>
            <w:tcMar>
              <w:top w:w="90" w:type="dxa"/>
              <w:bottom w:w="90" w:type="dxa"/>
              <w:start w:w="120" w:type="dxa"/>
              <w:end w:w="120" w:type="dxa"/>
            </w:tcMar>
            <w:vAlign w:val="center"/>
          </w:tcPr>
          <w:p>
            <w:pPr>
              <w:pStyle w:val="MAKUTableLabel"/>
              <w:jc w:val="left"/>
            </w:pPr>
            <w:r>
              <w:t xml:space="preserve">Student-Teacher (Pre-Service Teacher)</w:t>
            </w:r>
          </w:p>
        </w:tc>
        <w:tc>
          <w:tcPr>
            <w:tcW w:w="7570" w:type="dxa"/>
            <w:shd w:val="clear" w:color="auto" w:fill="F2F2F2"/>
            <w:tcMar>
              <w:top w:w="90" w:type="dxa"/>
              <w:bottom w:w="90" w:type="dxa"/>
              <w:start w:w="120" w:type="dxa"/>
              <w:end w:w="120" w:type="dxa"/>
            </w:tcMar>
            <w:vAlign w:val="center"/>
          </w:tcPr>
          <w:p>
            <w:pPr>
              <w:pStyle w:val="MAKUTableBullet"/>
              <w:jc w:val="left"/>
            </w:pPr>
            <w:r>
              <w:t xml:space="preserve">• Fulfills mandatory attendance: 80% in theoretical seminars, 100% in school practicum.</w:t>
            </w:r>
          </w:p>
          <w:p>
            <w:pPr>
              <w:pStyle w:val="MAKUTableBullet"/>
              <w:jc w:val="left"/>
            </w:pPr>
            <w:r>
              <w:t xml:space="preserve">• Prepares and submits detailed lesson plans and materials well in advance for supervisor approval.</w:t>
            </w:r>
          </w:p>
          <w:p>
            <w:pPr>
              <w:pStyle w:val="MAKUTableBullet"/>
              <w:jc w:val="left"/>
            </w:pPr>
            <w:r>
              <w:t xml:space="preserve">• Maximizes English target language use and learner talking time (STT) during instruction.</w:t>
            </w:r>
          </w:p>
          <w:p>
            <w:pPr>
              <w:pStyle w:val="MAKUTableBullet"/>
              <w:jc w:val="left"/>
            </w:pPr>
            <w:r>
              <w:t xml:space="preserve">• Completes self-reflection and peer observation forms immediately after every teaching session.</w:t>
            </w:r>
          </w:p>
          <w:p>
            <w:pPr>
              <w:pStyle w:val="MAKUTableBullet"/>
              <w:jc w:val="left"/>
            </w:pPr>
            <w:r>
              <w:t xml:space="preserve">• Compiles and submits the comprehensive ELT Practicum Portfolio at the end of the term.</w:t>
            </w:r>
          </w:p>
        </w:tc>
      </w:tr>
    </w:tbl>
    <w:p>
      <w:pPr>
        <w:pStyle w:val="MAKUSpacer"/>
      </w:pPr>
    </w:p>
    <w:p>
      <w:pPr>
        <w:pStyle w:val="Heading1"/>
        <w:pBdr>
          <w:bottom w:val="single" w:sz="6" w:space="4" w:color="7F7F7F"/>
        </w:pBdr>
      </w:pPr>
      <w:r>
        <w:t xml:space="preserve">SECTION III: CORE PRINCIPLES &amp; PEDAGOGICAL FRAMEWORK</w:t>
      </w:r>
    </w:p>
    <w:p>
      <w:pPr>
        <w:pStyle w:val="Heading2"/>
      </w:pPr>
      <w:r>
        <w:t xml:space="preserve">3.1. Theory-Practice Nexus &amp; Reflective Practice</w:t>
      </w:r>
    </w:p>
    <w:p>
      <w:pPr/>
      <w:r>
        <w:t xml:space="preserve">Teaching practicum is not mere routine observation or imitation; it is a cyclic inquiry process wherein theoretical SLA knowledge transforms into pedagogical action and action is refined through reflective evaluation (Farrell, 2019; Richards &amp; Farrell, 2019). Student-teachers engage in systematic reflection after each lesson, critically examining instructional timing, learner engagement, and feedback effectiveness.</w:t>
      </w:r>
    </w:p>
    <w:p>
      <w:pPr>
        <w:pStyle w:val="Heading2"/>
      </w:pPr>
      <w:r>
        <w:t xml:space="preserve">3.2. Action-Oriented Language Pedagogy &amp; CEFR Alignment</w:t>
      </w:r>
    </w:p>
    <w:p>
      <w:pPr/>
      <w:r>
        <w:t xml:space="preserve">Lesson objectives must treat language as an authentic communicative tool formulated through action-oriented 'Can-Do' descriptors rather than isolated grammatical formulas (Council of Europe, 2020). Lesson plans must explicitly map national curriculum objectives onto CEFR proficiency levels (A1, A2, B1).</w:t>
      </w:r>
    </w:p>
    <w:p>
      <w:pPr>
        <w:pStyle w:val="Heading2"/>
      </w:pPr>
      <w:r>
        <w:t xml:space="preserve">3.3. Target Language Maximization &amp; Student Talking Time (STT)</w:t>
      </w:r>
    </w:p>
    <w:p>
      <w:pPr/>
      <w:r>
        <w:t xml:space="preserve">The primary medium of classroom communication must be English. Student-teachers are expected to eliminate unnecessary L1 translation by grading their language and utilizing visual/gestural scaffolding. Teacher Talking Time (TTT) must be strictly managed, ensuring Student Talking Time (STT) occupies at least 60–70% of class time via interactive pair and group tasks.</w:t>
      </w:r>
    </w:p>
    <w:p>
      <w:pPr>
        <w:pStyle w:val="Heading2"/>
      </w:pPr>
      <w:r>
        <w:t xml:space="preserve">3.4. Universal Design for Learning (UDL) &amp; Differentiation</w:t>
      </w:r>
    </w:p>
    <w:p>
      <w:pPr/>
      <w:r>
        <w:t xml:space="preserve">In accordance with inclusive education standards, instructional planning must accommodate diverse linguistic levels, learning paces, and special educational needs (CAST, 2024; Echevarría et al., 2025). Student-teachers must integrate multiple means of engagement, representation, and expression.</w:t>
      </w:r>
    </w:p>
    <w:p>
      <w:pPr>
        <w:pStyle w:val="Heading2"/>
      </w:pPr>
      <w:r>
        <w:t xml:space="preserve">3.5. Türkiye Century Maarif Model: Virtue-Value-Action Integration</w:t>
      </w:r>
    </w:p>
    <w:p>
      <w:pPr/>
      <w:r>
        <w:t xml:space="preserve">In alignment with the Türkiye Century Maarif Model, foreign language teaching is interwoven with universal ethical values. English lessons must embed fundamental virtues—such as justice, respect, civic responsibility, environmental awareness, and intercultural empathy—naturally within meaningful communicative tasks (MoNE, 2024).</w:t>
      </w:r>
    </w:p>
    <w:p>
      <w:pPr>
        <w:pStyle w:val="Heading2"/>
      </w:pPr>
      <w:r>
        <w:t xml:space="preserve">3.6. Ethics, Child Protection &amp; KVKK / Data Privacy</w:t>
      </w:r>
    </w:p>
    <w:p>
      <w:pPr/>
      <w:r>
        <w:t xml:space="preserve">Video and audio recordings captured during micro-teaching and classroom observations are strictly restricted to academic mentoring and self-reflection. Under Law No. 6698 (KVKK/GDPR), parental and institutional written consent is mandatory before recording. No student imagery or classroom footage may ever be published on social media or public repositories.</w:t>
      </w:r>
    </w:p>
    <w:p>
      <w:pPr>
        <w:pStyle w:val="Heading1"/>
        <w:pBdr>
          <w:bottom w:val="single" w:sz="6" w:space="4" w:color="7F7F7F"/>
        </w:pBdr>
      </w:pPr>
      <w:r>
        <w:t xml:space="preserve">SECTION IV: HIERARCHICAL PROGRESSION OF PRACTICUM I &amp; II</w:t>
      </w:r>
    </w:p>
    <w:p>
      <w:pPr/>
      <w:r>
        <w:t xml:space="preserve">Pursuant to the Dean's Office directive dated 13.11.2025 (Ref: E-591369), Teaching Practicum I and II are hierarchically sequenced. Satisfactory completion of Teaching Practicum I is a mandatory prerequisite for enrollment in Teaching Practicum II.</w:t>
      </w:r>
    </w:p>
    <w:tbl>
      <w:tblPr>
        <w:tblW w:w="9978" w:type="dxa"/>
        <w:jc w:val="left"/>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Ind w:type="dxa" w:w="120"/>
      </w:tblPr>
      <w:tblGrid>
        <w:gridCol w:w="1548"/>
        <w:gridCol w:w="4215"/>
        <w:gridCol w:w="4215"/>
      </w:tblGrid>
      <w:tr>
        <w:trPr>
          <w:tblHeader w:val="true"/>
          <w:cantSplit w:val="true"/>
        </w:trPr>
        <w:tc>
          <w:tcPr>
            <w:tcW w:w="1548" w:type="dxa"/>
            <w:shd w:val="clear" w:color="auto" w:fill="3F3F3F"/>
            <w:tcMar>
              <w:top w:w="90" w:type="dxa"/>
              <w:bottom w:w="90" w:type="dxa"/>
              <w:start w:w="120" w:type="dxa"/>
              <w:end w:w="120" w:type="dxa"/>
            </w:tcMar>
            <w:vAlign w:val="center"/>
          </w:tcPr>
          <w:p>
            <w:pPr>
              <w:pStyle w:val="MAKUTableHeader"/>
              <w:jc w:val="center"/>
              <w:keepNext/>
            </w:pPr>
            <w:r>
              <w:t>Criterion</w:t>
            </w:r>
          </w:p>
        </w:tc>
        <w:tc>
          <w:tcPr>
            <w:tcW w:w="4215" w:type="dxa"/>
            <w:shd w:val="clear" w:color="auto" w:fill="3F3F3F"/>
            <w:tcMar>
              <w:top w:w="90" w:type="dxa"/>
              <w:bottom w:w="90" w:type="dxa"/>
              <w:start w:w="120" w:type="dxa"/>
              <w:end w:w="120" w:type="dxa"/>
            </w:tcMar>
            <w:vAlign w:val="center"/>
          </w:tcPr>
          <w:p>
            <w:pPr>
              <w:pStyle w:val="MAKUTableHeader"/>
              <w:jc w:val="center"/>
              <w:keepNext/>
            </w:pPr>
            <w:r>
              <w:t>Teaching Practicum I (Fall Semester)</w:t>
            </w:r>
          </w:p>
        </w:tc>
        <w:tc>
          <w:tcPr>
            <w:tcW w:w="4215" w:type="dxa"/>
            <w:shd w:val="clear" w:color="auto" w:fill="3F3F3F"/>
            <w:tcMar>
              <w:top w:w="90" w:type="dxa"/>
              <w:bottom w:w="90" w:type="dxa"/>
              <w:start w:w="120" w:type="dxa"/>
              <w:end w:w="120" w:type="dxa"/>
            </w:tcMar>
            <w:vAlign w:val="center"/>
          </w:tcPr>
          <w:p>
            <w:pPr>
              <w:pStyle w:val="MAKUTableHeader"/>
              <w:jc w:val="center"/>
              <w:keepNext/>
            </w:pPr>
            <w:r>
              <w:t>Teaching Practicum II (Spring Semester)</w:t>
            </w:r>
          </w:p>
        </w:tc>
      </w:tr>
      <w:tr>
        <w:trPr>
          <w:cantSplit w:val="true"/>
        </w:trPr>
        <w:tc>
          <w:tcPr>
            <w:tcW w:w="1548" w:type="dxa"/>
            <w:shd w:val="clear" w:color="auto" w:fill="FFFFFF"/>
            <w:tcMar>
              <w:top w:w="90" w:type="dxa"/>
              <w:bottom w:w="90" w:type="dxa"/>
              <w:start w:w="120" w:type="dxa"/>
              <w:end w:w="120" w:type="dxa"/>
            </w:tcMar>
            <w:vAlign w:val="center"/>
          </w:tcPr>
          <w:p>
            <w:pPr>
              <w:pStyle w:val="MAKUTableLabel"/>
              <w:jc w:val="left"/>
              <w:keepNext/>
            </w:pPr>
            <w:r>
              <w:t xml:space="preserve">Pedagogical Focus</w:t>
            </w:r>
          </w:p>
        </w:tc>
        <w:tc>
          <w:tcPr>
            <w:tcW w:w="4215" w:type="dxa"/>
            <w:shd w:val="clear" w:color="auto" w:fill="FFFFFF"/>
            <w:tcMar>
              <w:top w:w="90" w:type="dxa"/>
              <w:bottom w:w="90" w:type="dxa"/>
              <w:start w:w="120" w:type="dxa"/>
              <w:end w:w="120" w:type="dxa"/>
            </w:tcMar>
            <w:vAlign w:val="center"/>
          </w:tcPr>
          <w:p>
            <w:pPr>
              <w:pStyle w:val="MAKUTableBody"/>
              <w:jc w:val="left"/>
              <w:keepNext/>
            </w:pPr>
            <w:r>
              <w:t xml:space="preserve">Micro-teaching, classroom observation, teacher talk analysis (TTT management), FMP instruction, CCQ/ICQ techniques, and structured segment delivery.</w:t>
            </w:r>
          </w:p>
        </w:tc>
        <w:tc>
          <w:tcPr>
            <w:tcW w:w="4215" w:type="dxa"/>
            <w:shd w:val="clear" w:color="auto" w:fill="FFFFFF"/>
            <w:tcMar>
              <w:top w:w="90" w:type="dxa"/>
              <w:bottom w:w="90" w:type="dxa"/>
              <w:start w:w="120" w:type="dxa"/>
              <w:end w:w="120" w:type="dxa"/>
            </w:tcMar>
            <w:vAlign w:val="center"/>
          </w:tcPr>
          <w:p>
            <w:pPr>
              <w:pStyle w:val="MAKUTableBody"/>
              <w:jc w:val="left"/>
              <w:keepNext/>
            </w:pPr>
            <w:r>
              <w:t xml:space="preserve">Autonomous whole-class management, 4-skills integration, task-based language teaching (TBLT), classroom action research, and advanced assessment.</w:t>
            </w:r>
          </w:p>
        </w:tc>
      </w:tr>
      <w:tr>
        <w:trPr>
          <w:cantSplit w:val="true"/>
        </w:trPr>
        <w:tc>
          <w:tcPr>
            <w:tcW w:w="1548" w:type="dxa"/>
            <w:shd w:val="clear" w:color="auto" w:fill="F2F2F2"/>
            <w:tcMar>
              <w:top w:w="90" w:type="dxa"/>
              <w:bottom w:w="90" w:type="dxa"/>
              <w:start w:w="120" w:type="dxa"/>
              <w:end w:w="120" w:type="dxa"/>
            </w:tcMar>
            <w:vAlign w:val="center"/>
          </w:tcPr>
          <w:p>
            <w:pPr>
              <w:pStyle w:val="MAKUTableLabel"/>
              <w:jc w:val="left"/>
              <w:keepNext/>
            </w:pPr>
            <w:r>
              <w:t xml:space="preserve">Prerequisite Status</w:t>
            </w:r>
          </w:p>
        </w:tc>
        <w:tc>
          <w:tcPr>
            <w:tcW w:w="4215" w:type="dxa"/>
            <w:shd w:val="clear" w:color="auto" w:fill="F2F2F2"/>
            <w:tcMar>
              <w:top w:w="90" w:type="dxa"/>
              <w:bottom w:w="90" w:type="dxa"/>
              <w:start w:w="120" w:type="dxa"/>
              <w:end w:w="120" w:type="dxa"/>
            </w:tcMar>
            <w:vAlign w:val="center"/>
          </w:tcPr>
          <w:p>
            <w:pPr>
              <w:pStyle w:val="MAKUTableBody"/>
              <w:jc w:val="left"/>
              <w:keepNext/>
            </w:pPr>
            <w:r>
              <w:t xml:space="preserve">Semester 7 course. Prerequisite: Successful completion of prior pedagogical and methodology coursework.</w:t>
            </w:r>
          </w:p>
        </w:tc>
        <w:tc>
          <w:tcPr>
            <w:tcW w:w="4215" w:type="dxa"/>
            <w:shd w:val="clear" w:color="auto" w:fill="F2F2F2"/>
            <w:tcMar>
              <w:top w:w="90" w:type="dxa"/>
              <w:bottom w:w="90" w:type="dxa"/>
              <w:start w:w="120" w:type="dxa"/>
              <w:end w:w="120" w:type="dxa"/>
            </w:tcMar>
            <w:vAlign w:val="center"/>
          </w:tcPr>
          <w:p>
            <w:pPr>
              <w:pStyle w:val="MAKUTableBody"/>
              <w:jc w:val="left"/>
              <w:keepNext/>
            </w:pPr>
            <w:r>
              <w:t xml:space="preserve">Semester 8 course. Prerequisite: Mandatory passing grade in Teaching Practicum I.</w:t>
            </w:r>
          </w:p>
        </w:tc>
      </w:tr>
      <w:tr>
        <w:trPr>
          <w:cantSplit w:val="true"/>
        </w:trPr>
        <w:tc>
          <w:tcPr>
            <w:tcW w:w="1548" w:type="dxa"/>
            <w:shd w:val="clear" w:color="auto" w:fill="FFFFFF"/>
            <w:tcMar>
              <w:top w:w="90" w:type="dxa"/>
              <w:bottom w:w="90" w:type="dxa"/>
              <w:start w:w="120" w:type="dxa"/>
              <w:end w:w="120" w:type="dxa"/>
            </w:tcMar>
            <w:vAlign w:val="center"/>
          </w:tcPr>
          <w:p>
            <w:pPr>
              <w:pStyle w:val="MAKUTableLabel"/>
              <w:jc w:val="left"/>
              <w:keepNext/>
            </w:pPr>
            <w:r>
              <w:t xml:space="preserve">Teaching Load</w:t>
            </w:r>
          </w:p>
        </w:tc>
        <w:tc>
          <w:tcPr>
            <w:tcW w:w="4215" w:type="dxa"/>
            <w:shd w:val="clear" w:color="auto" w:fill="FFFFFF"/>
            <w:tcMar>
              <w:top w:w="90" w:type="dxa"/>
              <w:bottom w:w="90" w:type="dxa"/>
              <w:start w:w="120" w:type="dxa"/>
              <w:end w:w="120" w:type="dxa"/>
            </w:tcMar>
            <w:vAlign w:val="center"/>
          </w:tcPr>
          <w:p>
            <w:pPr>
              <w:pStyle w:val="MAKUTableBody"/>
              <w:jc w:val="left"/>
              <w:keepNext/>
            </w:pPr>
            <w:r>
              <w:t xml:space="preserve">At least 2 hours of focused segment/micro-teaching per week (minimum 8-10 micro-lessons per semester).</w:t>
            </w:r>
          </w:p>
        </w:tc>
        <w:tc>
          <w:tcPr>
            <w:tcW w:w="4215" w:type="dxa"/>
            <w:shd w:val="clear" w:color="auto" w:fill="FFFFFF"/>
            <w:tcMar>
              <w:top w:w="90" w:type="dxa"/>
              <w:bottom w:w="90" w:type="dxa"/>
              <w:start w:w="120" w:type="dxa"/>
              <w:end w:w="120" w:type="dxa"/>
            </w:tcMar>
            <w:vAlign w:val="center"/>
          </w:tcPr>
          <w:p>
            <w:pPr>
              <w:pStyle w:val="MAKUTableBody"/>
              <w:jc w:val="left"/>
              <w:keepNext/>
            </w:pPr>
            <w:r>
              <w:t xml:space="preserve">Full block classroom teaching per week (minimum 20 hours of independent whole-class instruction per semester).</w:t>
            </w:r>
          </w:p>
        </w:tc>
      </w:tr>
      <w:tr>
        <w:trPr>
          <w:cantSplit w:val="true"/>
        </w:trPr>
        <w:tc>
          <w:tcPr>
            <w:tcW w:w="1548" w:type="dxa"/>
            <w:shd w:val="clear" w:color="auto" w:fill="F2F2F2"/>
            <w:tcMar>
              <w:top w:w="90" w:type="dxa"/>
              <w:bottom w:w="90" w:type="dxa"/>
              <w:start w:w="120" w:type="dxa"/>
              <w:end w:w="120" w:type="dxa"/>
            </w:tcMar>
            <w:vAlign w:val="center"/>
          </w:tcPr>
          <w:p>
            <w:pPr>
              <w:pStyle w:val="MAKUTableLabel"/>
              <w:jc w:val="left"/>
              <w:keepNext/>
            </w:pPr>
            <w:r>
              <w:t xml:space="preserve">Lesson Plan Model</w:t>
            </w:r>
          </w:p>
        </w:tc>
        <w:tc>
          <w:tcPr>
            <w:tcW w:w="4215" w:type="dxa"/>
            <w:shd w:val="clear" w:color="auto" w:fill="F2F2F2"/>
            <w:tcMar>
              <w:top w:w="90" w:type="dxa"/>
              <w:bottom w:w="90" w:type="dxa"/>
              <w:start w:w="120" w:type="dxa"/>
              <w:end w:w="120" w:type="dxa"/>
            </w:tcMar>
            <w:vAlign w:val="center"/>
          </w:tcPr>
          <w:p>
            <w:pPr>
              <w:pStyle w:val="MAKUTableBody"/>
              <w:jc w:val="left"/>
              <w:keepNext/>
            </w:pPr>
            <w:r>
              <w:t xml:space="preserve">PPP (Presentation, Practice, Production) and focused structure/vocabulary plan.</w:t>
            </w:r>
          </w:p>
        </w:tc>
        <w:tc>
          <w:tcPr>
            <w:tcW w:w="4215" w:type="dxa"/>
            <w:shd w:val="clear" w:color="auto" w:fill="F2F2F2"/>
            <w:tcMar>
              <w:top w:w="90" w:type="dxa"/>
              <w:bottom w:w="90" w:type="dxa"/>
              <w:start w:w="120" w:type="dxa"/>
              <w:end w:w="120" w:type="dxa"/>
            </w:tcMar>
            <w:vAlign w:val="center"/>
          </w:tcPr>
          <w:p>
            <w:pPr>
              <w:pStyle w:val="MAKUTableBody"/>
              <w:jc w:val="left"/>
              <w:keepNext/>
            </w:pPr>
            <w:r>
              <w:t xml:space="preserve">TBLT (Task-Based), Integrated Skills, CLIL, and Differentiated UDL lesson plans.</w:t>
            </w:r>
          </w:p>
        </w:tc>
      </w:tr>
      <w:tr>
        <w:trPr>
          <w:cantSplit w:val="true"/>
        </w:trPr>
        <w:tc>
          <w:tcPr>
            <w:tcW w:w="1548" w:type="dxa"/>
            <w:shd w:val="clear" w:color="auto" w:fill="FFFFFF"/>
            <w:tcMar>
              <w:top w:w="90" w:type="dxa"/>
              <w:bottom w:w="90" w:type="dxa"/>
              <w:start w:w="120" w:type="dxa"/>
              <w:end w:w="120" w:type="dxa"/>
            </w:tcMar>
            <w:vAlign w:val="center"/>
          </w:tcPr>
          <w:p>
            <w:pPr>
              <w:pStyle w:val="MAKUTableLabel"/>
              <w:jc w:val="left"/>
              <w:keepNext/>
            </w:pPr>
            <w:r>
              <w:t xml:space="preserve">Inquiry &amp; Research</w:t>
            </w:r>
          </w:p>
        </w:tc>
        <w:tc>
          <w:tcPr>
            <w:tcW w:w="4215" w:type="dxa"/>
            <w:shd w:val="clear" w:color="auto" w:fill="FFFFFF"/>
            <w:tcMar>
              <w:top w:w="90" w:type="dxa"/>
              <w:bottom w:w="90" w:type="dxa"/>
              <w:start w:w="120" w:type="dxa"/>
              <w:end w:w="120" w:type="dxa"/>
            </w:tcMar>
            <w:vAlign w:val="center"/>
          </w:tcPr>
          <w:p>
            <w:pPr>
              <w:pStyle w:val="MAKUTableBody"/>
              <w:jc w:val="left"/>
              <w:keepNext/>
            </w:pPr>
            <w:r>
              <w:t xml:space="preserve">School climate analysis, classroom management case study, and individual learner profile report.</w:t>
            </w:r>
          </w:p>
        </w:tc>
        <w:tc>
          <w:tcPr>
            <w:tcW w:w="4215" w:type="dxa"/>
            <w:shd w:val="clear" w:color="auto" w:fill="FFFFFF"/>
            <w:tcMar>
              <w:top w:w="90" w:type="dxa"/>
              <w:bottom w:w="90" w:type="dxa"/>
              <w:start w:w="120" w:type="dxa"/>
              <w:end w:w="120" w:type="dxa"/>
            </w:tcMar>
            <w:vAlign w:val="center"/>
          </w:tcPr>
          <w:p>
            <w:pPr>
              <w:pStyle w:val="MAKUTableBody"/>
              <w:jc w:val="left"/>
              <w:keepNext/>
            </w:pPr>
            <w:r>
              <w:t xml:space="preserve">Classroom Action Research project addressing specific linguistic/pedagogical learning challenges.</w:t>
            </w:r>
          </w:p>
        </w:tc>
      </w:tr>
      <w:tr>
        <w:trPr>
          <w:cantSplit w:val="true"/>
        </w:trPr>
        <w:tc>
          <w:tcPr>
            <w:tcW w:w="1548" w:type="dxa"/>
            <w:shd w:val="clear" w:color="auto" w:fill="F2F2F2"/>
            <w:tcMar>
              <w:top w:w="90" w:type="dxa"/>
              <w:bottom w:w="90" w:type="dxa"/>
              <w:start w:w="120" w:type="dxa"/>
              <w:end w:w="120" w:type="dxa"/>
            </w:tcMar>
            <w:vAlign w:val="center"/>
          </w:tcPr>
          <w:p>
            <w:pPr>
              <w:pStyle w:val="MAKUTableLabel"/>
              <w:jc w:val="left"/>
            </w:pPr>
            <w:r>
              <w:t xml:space="preserve">Key Deliverable</w:t>
            </w:r>
          </w:p>
        </w:tc>
        <w:tc>
          <w:tcPr>
            <w:tcW w:w="4215" w:type="dxa"/>
            <w:shd w:val="clear" w:color="auto" w:fill="F2F2F2"/>
            <w:tcMar>
              <w:top w:w="90" w:type="dxa"/>
              <w:bottom w:w="90" w:type="dxa"/>
              <w:start w:w="120" w:type="dxa"/>
              <w:end w:w="120" w:type="dxa"/>
            </w:tcMar>
            <w:vAlign w:val="center"/>
          </w:tcPr>
          <w:p>
            <w:pPr>
              <w:pStyle w:val="MAKUTableBody"/>
              <w:jc w:val="left"/>
            </w:pPr>
            <w:r>
              <w:t xml:space="preserve">Practicum I Developmental Portfolio (observation notes, 3 micro-lesson plans, 1 video-reflection brief).</w:t>
            </w:r>
          </w:p>
        </w:tc>
        <w:tc>
          <w:tcPr>
            <w:tcW w:w="4215" w:type="dxa"/>
            <w:shd w:val="clear" w:color="auto" w:fill="F2F2F2"/>
            <w:tcMar>
              <w:top w:w="90" w:type="dxa"/>
              <w:bottom w:w="90" w:type="dxa"/>
              <w:start w:w="120" w:type="dxa"/>
              <w:end w:w="120" w:type="dxa"/>
            </w:tcMar>
            <w:vAlign w:val="center"/>
          </w:tcPr>
          <w:p>
            <w:pPr>
              <w:pStyle w:val="MAKUTableBody"/>
              <w:jc w:val="left"/>
            </w:pPr>
            <w:r>
              <w:t xml:space="preserve">Comprehensive ELT Graduation Portfolio (8 full lesson plans, materials, action research report, self/peer reflections).</w:t>
            </w:r>
          </w:p>
        </w:tc>
      </w:tr>
    </w:tbl>
    <w:p>
      <w:pPr>
        <w:pStyle w:val="MAKUSpacer"/>
      </w:pPr>
    </w:p>
    <w:p>
      <w:pPr>
        <w:pStyle w:val="Heading1"/>
        <w:pBdr>
          <w:bottom w:val="single" w:sz="6" w:space="4" w:color="7F7F7F"/>
        </w:pBdr>
      </w:pPr>
      <w:r>
        <w:t xml:space="preserve">SECTION V: 14-WEEK PRACTICUM SCHEDULE &amp; SYLLABUS</w:t>
      </w:r>
    </w:p>
    <w:p>
      <w:pPr>
        <w:pStyle w:val="Heading2"/>
      </w:pPr>
      <w:r>
        <w:t xml:space="preserve">5.1. Teaching Practicum I: Weekly Syllabus (Fall Semester)</w:t>
      </w:r>
    </w:p>
    <w:tbl>
      <w:tblPr>
        <w:tblW w:w="9978" w:type="dxa"/>
        <w:jc w:val="left"/>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Ind w:type="dxa" w:w="120"/>
      </w:tblPr>
      <w:tblGrid>
        <w:gridCol w:w="803"/>
        <w:gridCol w:w="3097"/>
        <w:gridCol w:w="3441"/>
        <w:gridCol w:w="2637"/>
      </w:tblGrid>
      <w:tr>
        <w:trPr>
          <w:tblHeader w:val="true"/>
          <w:cantSplit w:val="true"/>
        </w:trPr>
        <w:tc>
          <w:tcPr>
            <w:tcW w:w="803" w:type="dxa"/>
            <w:shd w:val="clear" w:color="auto" w:fill="3F3F3F"/>
            <w:tcMar>
              <w:top w:w="90" w:type="dxa"/>
              <w:bottom w:w="90" w:type="dxa"/>
              <w:start w:w="120" w:type="dxa"/>
              <w:end w:w="120" w:type="dxa"/>
            </w:tcMar>
            <w:vAlign w:val="center"/>
          </w:tcPr>
          <w:p>
            <w:pPr>
              <w:pStyle w:val="MAKUTableHeader"/>
              <w:jc w:val="center"/>
              <w:keepNext/>
            </w:pPr>
            <w:r>
              <w:t>Week</w:t>
            </w:r>
          </w:p>
        </w:tc>
        <w:tc>
          <w:tcPr>
            <w:tcW w:w="3097" w:type="dxa"/>
            <w:shd w:val="clear" w:color="auto" w:fill="3F3F3F"/>
            <w:tcMar>
              <w:top w:w="90" w:type="dxa"/>
              <w:bottom w:w="90" w:type="dxa"/>
              <w:start w:w="120" w:type="dxa"/>
              <w:end w:w="120" w:type="dxa"/>
            </w:tcMar>
            <w:vAlign w:val="center"/>
          </w:tcPr>
          <w:p>
            <w:pPr>
              <w:pStyle w:val="MAKUTableHeader"/>
              <w:jc w:val="center"/>
              <w:keepNext/>
            </w:pPr>
            <w:r>
              <w:t>Theoretical Seminar Focus (ELT)</w:t>
            </w:r>
          </w:p>
        </w:tc>
        <w:tc>
          <w:tcPr>
            <w:tcW w:w="3441" w:type="dxa"/>
            <w:shd w:val="clear" w:color="auto" w:fill="3F3F3F"/>
            <w:tcMar>
              <w:top w:w="90" w:type="dxa"/>
              <w:bottom w:w="90" w:type="dxa"/>
              <w:start w:w="120" w:type="dxa"/>
              <w:end w:w="120" w:type="dxa"/>
            </w:tcMar>
            <w:vAlign w:val="center"/>
          </w:tcPr>
          <w:p>
            <w:pPr>
              <w:pStyle w:val="MAKUTableHeader"/>
              <w:jc w:val="center"/>
              <w:keepNext/>
            </w:pPr>
            <w:r>
              <w:t>School Practicum Task</w:t>
            </w:r>
          </w:p>
        </w:tc>
        <w:tc>
          <w:tcPr>
            <w:tcW w:w="2637" w:type="dxa"/>
            <w:shd w:val="clear" w:color="auto" w:fill="3F3F3F"/>
            <w:tcMar>
              <w:top w:w="90" w:type="dxa"/>
              <w:bottom w:w="90" w:type="dxa"/>
              <w:start w:w="120" w:type="dxa"/>
              <w:end w:w="120" w:type="dxa"/>
            </w:tcMar>
            <w:vAlign w:val="center"/>
          </w:tcPr>
          <w:p>
            <w:pPr>
              <w:pStyle w:val="MAKUTableHeader"/>
              <w:jc w:val="center"/>
              <w:keepNext/>
            </w:pPr>
            <w:r>
              <w:t>TYMM &amp; Ethical Focus</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1</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Orientation, MoNE Directive, Ethics/KVKK &amp; Syllabus Contract</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Introduction to school administration, mentor teacher &amp; class schedule</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Respect, Trust &amp; Professional Duty</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2</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CEFR Proficiency Levels &amp; Backward Design (Can-Do Descriptors)</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Learner profiling &amp; diagnostic language level observation</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Equity &amp; Justice</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3</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Lesson Planning I (PPP): Formulating objectives, FMP &amp; CCQs</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Mentor lesson observation: Structural presentation (Report 1)</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Diligence &amp; Dedication</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4</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Classroom Communication: Instruction giving (ICQs) &amp; Body Language</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Recording teacher instruction language &amp; student response patterns</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Politeness &amp; Clarity</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5</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Teaching Grammar (Guided Discovery &amp; Meaningful Context)</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Micro-Teaching 1: Grammar presentation &amp; controlled practice (15-20 min)</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Honesty &amp; Constructive Feedback</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6</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Teaching Vocabulary (Collocations, Recycling, Visuals)</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Micro-Teaching 2: Lexical presentation &amp; interactive practice (15-20 min)</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Patience &amp; Growth</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7</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Teaching Pronunciation (Segmental/Suprasegmental, Intelligibility)</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Micro-drill: Pronunciation &amp; intonation task delivery</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Respect for Diversity</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8</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Teaching Listening (Pre-While-Post Phases &amp; Authentic Input)</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Listening task observation &amp; materials adaptation critique</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Empathy &amp; Attentiveness</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9</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Teaching Speaking (Fluency vs. Accuracy, Maximizing STT)</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Micro-Teaching 3: Information-gap &amp; communicative speaking task</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Courage &amp; Confidence</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10</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Teaching Reading (Skimming, Scanning, Inference Tasks)</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Designing &amp; piloting pre/while-reading scaffolding tasks</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Fairness &amp; Curiosity</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11</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Teaching Writing (Process Writing &amp; Peer Feedback Protocols)</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Evaluating student writing samples &amp; providing corrective feedback</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Academic Integrity</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12</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Classroom Assessment &amp; Formative Exit Tickets / Rubrics</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Administering a formative diagnostic quiz &amp; scoring analysis</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Fair Assessment</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13</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Educational Technology (TPACK, Web 2.0 &amp; Generative AI Ethics)</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Delivering a technology-enhanced micro-teaching lesson</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Digital Civility &amp; Ethics</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pPr>
            <w:r>
              <w:t xml:space="preserve">Week 14</w:t>
            </w:r>
          </w:p>
        </w:tc>
        <w:tc>
          <w:tcPr>
            <w:tcW w:w="3097" w:type="dxa"/>
            <w:shd w:val="clear" w:color="auto" w:fill="F2F2F2"/>
            <w:tcMar>
              <w:top w:w="90" w:type="dxa"/>
              <w:bottom w:w="90" w:type="dxa"/>
              <w:start w:w="120" w:type="dxa"/>
              <w:end w:w="120" w:type="dxa"/>
            </w:tcMar>
            <w:vAlign w:val="center"/>
          </w:tcPr>
          <w:p>
            <w:pPr>
              <w:pStyle w:val="MAKUTableBody"/>
              <w:jc w:val="left"/>
            </w:pPr>
            <w:r>
              <w:t xml:space="preserve">Video-Reflective Analysis &amp; Portfolio Submission</w:t>
            </w:r>
          </w:p>
        </w:tc>
        <w:tc>
          <w:tcPr>
            <w:tcW w:w="3441" w:type="dxa"/>
            <w:shd w:val="clear" w:color="auto" w:fill="F2F2F2"/>
            <w:tcMar>
              <w:top w:w="90" w:type="dxa"/>
              <w:bottom w:w="90" w:type="dxa"/>
              <w:start w:w="120" w:type="dxa"/>
              <w:end w:w="120" w:type="dxa"/>
            </w:tcMar>
            <w:vAlign w:val="center"/>
          </w:tcPr>
          <w:p>
            <w:pPr>
              <w:pStyle w:val="MAKUTableBody"/>
              <w:jc w:val="left"/>
            </w:pPr>
            <w:r>
              <w:t xml:space="preserve">Semester debriefing meeting &amp; formal portfolio submission</w:t>
            </w:r>
          </w:p>
        </w:tc>
        <w:tc>
          <w:tcPr>
            <w:tcW w:w="2637" w:type="dxa"/>
            <w:shd w:val="clear" w:color="auto" w:fill="F2F2F2"/>
            <w:tcMar>
              <w:top w:w="90" w:type="dxa"/>
              <w:bottom w:w="90" w:type="dxa"/>
              <w:start w:w="120" w:type="dxa"/>
              <w:end w:w="120" w:type="dxa"/>
            </w:tcMar>
            <w:vAlign w:val="center"/>
          </w:tcPr>
          <w:p>
            <w:pPr>
              <w:pStyle w:val="MAKUTableBody"/>
              <w:jc w:val="left"/>
            </w:pPr>
            <w:r>
              <w:t xml:space="preserve">Self-Discipline &amp; Reflection</w:t>
            </w:r>
          </w:p>
        </w:tc>
      </w:tr>
    </w:tbl>
    <w:p>
      <w:pPr>
        <w:pStyle w:val="MAKUSpacer"/>
      </w:pPr>
    </w:p>
    <w:p>
      <w:pPr>
        <w:pStyle w:val="Heading2"/>
      </w:pPr>
      <w:r>
        <w:t xml:space="preserve">5.2. Teaching Practicum II: Weekly Syllabus (Spring Semester)</w:t>
      </w:r>
    </w:p>
    <w:tbl>
      <w:tblPr>
        <w:tblW w:w="9978" w:type="dxa"/>
        <w:jc w:val="left"/>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Ind w:type="dxa" w:w="120"/>
      </w:tblPr>
      <w:tblGrid>
        <w:gridCol w:w="803"/>
        <w:gridCol w:w="3097"/>
        <w:gridCol w:w="3441"/>
        <w:gridCol w:w="2637"/>
      </w:tblGrid>
      <w:tr>
        <w:trPr>
          <w:tblHeader w:val="true"/>
          <w:cantSplit w:val="true"/>
        </w:trPr>
        <w:tc>
          <w:tcPr>
            <w:tcW w:w="803" w:type="dxa"/>
            <w:shd w:val="clear" w:color="auto" w:fill="3F3F3F"/>
            <w:tcMar>
              <w:top w:w="90" w:type="dxa"/>
              <w:bottom w:w="90" w:type="dxa"/>
              <w:start w:w="120" w:type="dxa"/>
              <w:end w:w="120" w:type="dxa"/>
            </w:tcMar>
            <w:vAlign w:val="center"/>
          </w:tcPr>
          <w:p>
            <w:pPr>
              <w:pStyle w:val="MAKUTableHeader"/>
              <w:jc w:val="center"/>
              <w:keepNext/>
            </w:pPr>
            <w:r>
              <w:t>Week</w:t>
            </w:r>
          </w:p>
        </w:tc>
        <w:tc>
          <w:tcPr>
            <w:tcW w:w="3097" w:type="dxa"/>
            <w:shd w:val="clear" w:color="auto" w:fill="3F3F3F"/>
            <w:tcMar>
              <w:top w:w="90" w:type="dxa"/>
              <w:bottom w:w="90" w:type="dxa"/>
              <w:start w:w="120" w:type="dxa"/>
              <w:end w:w="120" w:type="dxa"/>
            </w:tcMar>
            <w:vAlign w:val="center"/>
          </w:tcPr>
          <w:p>
            <w:pPr>
              <w:pStyle w:val="MAKUTableHeader"/>
              <w:jc w:val="center"/>
              <w:keepNext/>
            </w:pPr>
            <w:r>
              <w:t>Theoretical Seminar Focus (ELT)</w:t>
            </w:r>
          </w:p>
        </w:tc>
        <w:tc>
          <w:tcPr>
            <w:tcW w:w="3441" w:type="dxa"/>
            <w:shd w:val="clear" w:color="auto" w:fill="3F3F3F"/>
            <w:tcMar>
              <w:top w:w="90" w:type="dxa"/>
              <w:bottom w:w="90" w:type="dxa"/>
              <w:start w:w="120" w:type="dxa"/>
              <w:end w:w="120" w:type="dxa"/>
            </w:tcMar>
            <w:vAlign w:val="center"/>
          </w:tcPr>
          <w:p>
            <w:pPr>
              <w:pStyle w:val="MAKUTableHeader"/>
              <w:jc w:val="center"/>
              <w:keepNext/>
            </w:pPr>
            <w:r>
              <w:t>School Practicum Task</w:t>
            </w:r>
          </w:p>
        </w:tc>
        <w:tc>
          <w:tcPr>
            <w:tcW w:w="2637" w:type="dxa"/>
            <w:shd w:val="clear" w:color="auto" w:fill="3F3F3F"/>
            <w:tcMar>
              <w:top w:w="90" w:type="dxa"/>
              <w:bottom w:w="90" w:type="dxa"/>
              <w:start w:w="120" w:type="dxa"/>
              <w:end w:w="120" w:type="dxa"/>
            </w:tcMar>
            <w:vAlign w:val="center"/>
          </w:tcPr>
          <w:p>
            <w:pPr>
              <w:pStyle w:val="MAKUTableHeader"/>
              <w:jc w:val="center"/>
              <w:keepNext/>
            </w:pPr>
            <w:r>
              <w:t>Key Deliverable</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1</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Semester Orientation, Goal Setting &amp; Action Research Intro</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Classroom assignments &amp; annual curriculum review</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Practicum Protocol</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2</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Task-Based Language Teaching (TBLT) Cycle Design</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Full Lesson 1: Task-based communicative cycle delivery</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Lesson Plan 1 + Self-Reflection</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3</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Differentiated Instruction &amp; Inclusivity (SIOP &amp; UDL)</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Full Lesson 2: UDL-scaffolded lesson delivery</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Lesson Plan 2 + Peer Observation</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4</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Classroom Management: Group Dynamics &amp; Communicative Climate</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Full Lesson 3: Station/collaborative group delivery</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Lesson Plan 3 + Supervisor Obs 1</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5</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Integrated Skills Pedagogy (Listening-Speaking Synthesis)</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Full Lesson 4: Multi-skill thematic lesson delivery</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Lesson Plan 4 + Mentor Feedback</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6</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Content and Language Integrated Learning (CLIL)</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Full Lesson 5: Interdisciplinary thematic lesson</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Lesson Plan 5 + Materials Pack</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7</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Performance Assessment &amp; Analytic Rubric Development</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Full Lesson 6: Speaking/Writing performance evaluation</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Assessment Rubric Tool</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8</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Action Research Data Collection: In-Class Linguistic Challenge</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Gathering diagnostic observational data on learner errors</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Data Collection Log</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9</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Error Treatment &amp; Corrective Feedback Strategies</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Full Lesson 7: Feedback-focused lesson delivery</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Lesson Plan 6 + Video Record</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10</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Materials Adaptation &amp; Cultural Contextualization</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Full Lesson 8: Authentic culturally responsive teaching</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Lesson Plan 7 + Supervisor Obs 2</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11</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Individual Learning Differences &amp; Remedial Interventions</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Full Lesson 9: Remedial small-group support delivery</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Lesson Plan 8 + Individual Report</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keepNext/>
            </w:pPr>
            <w:r>
              <w:t xml:space="preserve">Week 12</w:t>
            </w:r>
          </w:p>
        </w:tc>
        <w:tc>
          <w:tcPr>
            <w:tcW w:w="3097" w:type="dxa"/>
            <w:shd w:val="clear" w:color="auto" w:fill="F2F2F2"/>
            <w:tcMar>
              <w:top w:w="90" w:type="dxa"/>
              <w:bottom w:w="90" w:type="dxa"/>
              <w:start w:w="120" w:type="dxa"/>
              <w:end w:w="120" w:type="dxa"/>
            </w:tcMar>
            <w:vAlign w:val="center"/>
          </w:tcPr>
          <w:p>
            <w:pPr>
              <w:pStyle w:val="MAKUTableBody"/>
              <w:jc w:val="left"/>
              <w:keepNext/>
            </w:pPr>
            <w:r>
              <w:t xml:space="preserve">Reflective Teacher Identity &amp; Professional Portfolios</w:t>
            </w:r>
          </w:p>
        </w:tc>
        <w:tc>
          <w:tcPr>
            <w:tcW w:w="3441" w:type="dxa"/>
            <w:shd w:val="clear" w:color="auto" w:fill="F2F2F2"/>
            <w:tcMar>
              <w:top w:w="90" w:type="dxa"/>
              <w:bottom w:w="90" w:type="dxa"/>
              <w:start w:w="120" w:type="dxa"/>
              <w:end w:w="120" w:type="dxa"/>
            </w:tcMar>
            <w:vAlign w:val="center"/>
          </w:tcPr>
          <w:p>
            <w:pPr>
              <w:pStyle w:val="MAKUTableBody"/>
              <w:jc w:val="left"/>
              <w:keepNext/>
            </w:pPr>
            <w:r>
              <w:t xml:space="preserve">Overall instructional review &amp; mentor teacher debriefing</w:t>
            </w:r>
          </w:p>
        </w:tc>
        <w:tc>
          <w:tcPr>
            <w:tcW w:w="2637" w:type="dxa"/>
            <w:shd w:val="clear" w:color="auto" w:fill="F2F2F2"/>
            <w:tcMar>
              <w:top w:w="90" w:type="dxa"/>
              <w:bottom w:w="90" w:type="dxa"/>
              <w:start w:w="120" w:type="dxa"/>
              <w:end w:w="120" w:type="dxa"/>
            </w:tcMar>
            <w:vAlign w:val="center"/>
          </w:tcPr>
          <w:p>
            <w:pPr>
              <w:pStyle w:val="MAKUTableBody"/>
              <w:jc w:val="left"/>
              <w:keepNext/>
            </w:pPr>
            <w:r>
              <w:t xml:space="preserve">Action Research Draft</w:t>
            </w:r>
          </w:p>
        </w:tc>
      </w:tr>
      <w:tr>
        <w:trPr>
          <w:cantSplit w:val="true"/>
        </w:trPr>
        <w:tc>
          <w:tcPr>
            <w:tcW w:w="803" w:type="dxa"/>
            <w:shd w:val="clear" w:color="auto" w:fill="FFFFFF"/>
            <w:tcMar>
              <w:top w:w="90" w:type="dxa"/>
              <w:bottom w:w="90" w:type="dxa"/>
              <w:start w:w="120" w:type="dxa"/>
              <w:end w:w="120" w:type="dxa"/>
            </w:tcMar>
            <w:vAlign w:val="center"/>
          </w:tcPr>
          <w:p>
            <w:pPr>
              <w:pStyle w:val="MAKUTableLabel"/>
              <w:jc w:val="center"/>
              <w:keepNext/>
            </w:pPr>
            <w:r>
              <w:t xml:space="preserve">Week 13</w:t>
            </w:r>
          </w:p>
        </w:tc>
        <w:tc>
          <w:tcPr>
            <w:tcW w:w="3097" w:type="dxa"/>
            <w:shd w:val="clear" w:color="auto" w:fill="FFFFFF"/>
            <w:tcMar>
              <w:top w:w="90" w:type="dxa"/>
              <w:bottom w:w="90" w:type="dxa"/>
              <w:start w:w="120" w:type="dxa"/>
              <w:end w:w="120" w:type="dxa"/>
            </w:tcMar>
            <w:vAlign w:val="center"/>
          </w:tcPr>
          <w:p>
            <w:pPr>
              <w:pStyle w:val="MAKUTableBody"/>
              <w:jc w:val="left"/>
              <w:keepNext/>
            </w:pPr>
            <w:r>
              <w:t xml:space="preserve">Action Research Presentations &amp; Academic Dissemination</w:t>
            </w:r>
          </w:p>
        </w:tc>
        <w:tc>
          <w:tcPr>
            <w:tcW w:w="3441" w:type="dxa"/>
            <w:shd w:val="clear" w:color="auto" w:fill="FFFFFF"/>
            <w:tcMar>
              <w:top w:w="90" w:type="dxa"/>
              <w:bottom w:w="90" w:type="dxa"/>
              <w:start w:w="120" w:type="dxa"/>
              <w:end w:w="120" w:type="dxa"/>
            </w:tcMar>
            <w:vAlign w:val="center"/>
          </w:tcPr>
          <w:p>
            <w:pPr>
              <w:pStyle w:val="MAKUTableBody"/>
              <w:jc w:val="left"/>
              <w:keepNext/>
            </w:pPr>
            <w:r>
              <w:t xml:space="preserve">Farewell meeting with school staff and department colleagues</w:t>
            </w:r>
          </w:p>
        </w:tc>
        <w:tc>
          <w:tcPr>
            <w:tcW w:w="2637" w:type="dxa"/>
            <w:shd w:val="clear" w:color="auto" w:fill="FFFFFF"/>
            <w:tcMar>
              <w:top w:w="90" w:type="dxa"/>
              <w:bottom w:w="90" w:type="dxa"/>
              <w:start w:w="120" w:type="dxa"/>
              <w:end w:w="120" w:type="dxa"/>
            </w:tcMar>
            <w:vAlign w:val="center"/>
          </w:tcPr>
          <w:p>
            <w:pPr>
              <w:pStyle w:val="MAKUTableBody"/>
              <w:jc w:val="left"/>
              <w:keepNext/>
            </w:pPr>
            <w:r>
              <w:t xml:space="preserve">Action Research Report</w:t>
            </w:r>
          </w:p>
        </w:tc>
      </w:tr>
      <w:tr>
        <w:trPr>
          <w:cantSplit w:val="true"/>
        </w:trPr>
        <w:tc>
          <w:tcPr>
            <w:tcW w:w="803" w:type="dxa"/>
            <w:shd w:val="clear" w:color="auto" w:fill="F2F2F2"/>
            <w:tcMar>
              <w:top w:w="90" w:type="dxa"/>
              <w:bottom w:w="90" w:type="dxa"/>
              <w:start w:w="120" w:type="dxa"/>
              <w:end w:w="120" w:type="dxa"/>
            </w:tcMar>
            <w:vAlign w:val="center"/>
          </w:tcPr>
          <w:p>
            <w:pPr>
              <w:pStyle w:val="MAKUTableLabel"/>
              <w:jc w:val="center"/>
            </w:pPr>
            <w:r>
              <w:t xml:space="preserve">Week 14</w:t>
            </w:r>
          </w:p>
        </w:tc>
        <w:tc>
          <w:tcPr>
            <w:tcW w:w="3097" w:type="dxa"/>
            <w:shd w:val="clear" w:color="auto" w:fill="F2F2F2"/>
            <w:tcMar>
              <w:top w:w="90" w:type="dxa"/>
              <w:bottom w:w="90" w:type="dxa"/>
              <w:start w:w="120" w:type="dxa"/>
              <w:end w:w="120" w:type="dxa"/>
            </w:tcMar>
            <w:vAlign w:val="center"/>
          </w:tcPr>
          <w:p>
            <w:pPr>
              <w:pStyle w:val="MAKUTableBody"/>
              <w:jc w:val="left"/>
            </w:pPr>
            <w:r>
              <w:t xml:space="preserve">Comprehensive ELT Graduation Portfolio Jury Assessment</w:t>
            </w:r>
          </w:p>
        </w:tc>
        <w:tc>
          <w:tcPr>
            <w:tcW w:w="3441" w:type="dxa"/>
            <w:shd w:val="clear" w:color="auto" w:fill="F2F2F2"/>
            <w:tcMar>
              <w:top w:w="90" w:type="dxa"/>
              <w:bottom w:w="90" w:type="dxa"/>
              <w:start w:w="120" w:type="dxa"/>
              <w:end w:w="120" w:type="dxa"/>
            </w:tcMar>
            <w:vAlign w:val="center"/>
          </w:tcPr>
          <w:p>
            <w:pPr>
              <w:pStyle w:val="MAKUTableBody"/>
              <w:jc w:val="left"/>
            </w:pPr>
            <w:r>
              <w:t xml:space="preserve">Final portfolio submission and MEBBİS grade sign-off</w:t>
            </w:r>
          </w:p>
        </w:tc>
        <w:tc>
          <w:tcPr>
            <w:tcW w:w="2637" w:type="dxa"/>
            <w:shd w:val="clear" w:color="auto" w:fill="F2F2F2"/>
            <w:tcMar>
              <w:top w:w="90" w:type="dxa"/>
              <w:bottom w:w="90" w:type="dxa"/>
              <w:start w:w="120" w:type="dxa"/>
              <w:end w:w="120" w:type="dxa"/>
            </w:tcMar>
            <w:vAlign w:val="center"/>
          </w:tcPr>
          <w:p>
            <w:pPr>
              <w:pStyle w:val="MAKUTableBody"/>
              <w:jc w:val="left"/>
            </w:pPr>
            <w:r>
              <w:t xml:space="preserve">Final ELT Portfolio</w:t>
            </w:r>
          </w:p>
        </w:tc>
      </w:tr>
    </w:tbl>
    <w:p>
      <w:pPr>
        <w:pStyle w:val="MAKUSpacer"/>
      </w:pPr>
    </w:p>
    <w:p>
      <w:pPr>
        <w:pStyle w:val="Heading1"/>
        <w:pBdr>
          <w:bottom w:val="single" w:sz="6" w:space="4" w:color="7F7F7F"/>
        </w:pBdr>
      </w:pPr>
      <w:r>
        <w:t xml:space="preserve">SECTION VI: ASSESSMENT, GRADING &amp; PORTFOLIO SYSTEM</w:t>
      </w:r>
    </w:p>
    <w:p>
      <w:pPr/>
      <w:r>
        <w:t xml:space="preserve">Student-teacher performance is assessed holistically through continuous process evaluation, classroom observations, and an evidence-based developmental portfolio.</w:t>
      </w:r>
    </w:p>
    <w:tbl>
      <w:tblPr>
        <w:tblW w:w="9978" w:type="dxa"/>
        <w:jc w:val="left"/>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Ind w:type="dxa" w:w="120"/>
      </w:tblPr>
      <w:tblGrid>
        <w:gridCol w:w="5448"/>
        <w:gridCol w:w="3154"/>
        <w:gridCol w:w="1376"/>
      </w:tblGrid>
      <w:tr>
        <w:trPr>
          <w:tblHeader w:val="true"/>
          <w:cantSplit w:val="true"/>
        </w:trPr>
        <w:tc>
          <w:tcPr>
            <w:tcW w:w="5448" w:type="dxa"/>
            <w:shd w:val="clear" w:color="auto" w:fill="3F3F3F"/>
            <w:tcMar>
              <w:top w:w="90" w:type="dxa"/>
              <w:bottom w:w="90" w:type="dxa"/>
              <w:start w:w="120" w:type="dxa"/>
              <w:end w:w="120" w:type="dxa"/>
            </w:tcMar>
            <w:vAlign w:val="center"/>
          </w:tcPr>
          <w:p>
            <w:pPr>
              <w:pStyle w:val="MAKUTableHeader"/>
              <w:jc w:val="center"/>
              <w:keepNext/>
            </w:pPr>
            <w:r>
              <w:t>Assessment Component</w:t>
            </w:r>
          </w:p>
        </w:tc>
        <w:tc>
          <w:tcPr>
            <w:tcW w:w="3154" w:type="dxa"/>
            <w:shd w:val="clear" w:color="auto" w:fill="3F3F3F"/>
            <w:tcMar>
              <w:top w:w="90" w:type="dxa"/>
              <w:bottom w:w="90" w:type="dxa"/>
              <w:start w:w="120" w:type="dxa"/>
              <w:end w:w="120" w:type="dxa"/>
            </w:tcMar>
            <w:vAlign w:val="center"/>
          </w:tcPr>
          <w:p>
            <w:pPr>
              <w:pStyle w:val="MAKUTableHeader"/>
              <w:jc w:val="center"/>
              <w:keepNext/>
            </w:pPr>
            <w:r>
              <w:t>Responsible Evaluator</w:t>
            </w:r>
          </w:p>
        </w:tc>
        <w:tc>
          <w:tcPr>
            <w:tcW w:w="1376" w:type="dxa"/>
            <w:shd w:val="clear" w:color="auto" w:fill="3F3F3F"/>
            <w:tcMar>
              <w:top w:w="90" w:type="dxa"/>
              <w:bottom w:w="90" w:type="dxa"/>
              <w:start w:w="120" w:type="dxa"/>
              <w:end w:w="120" w:type="dxa"/>
            </w:tcMar>
            <w:vAlign w:val="center"/>
          </w:tcPr>
          <w:p>
            <w:pPr>
              <w:pStyle w:val="MAKUTableHeader"/>
              <w:jc w:val="center"/>
              <w:keepNext/>
            </w:pPr>
            <w:r>
              <w:t>Weight</w:t>
            </w:r>
          </w:p>
        </w:tc>
      </w:tr>
      <w:tr>
        <w:trPr>
          <w:cantSplit w:val="true"/>
        </w:trPr>
        <w:tc>
          <w:tcPr>
            <w:tcW w:w="5448" w:type="dxa"/>
            <w:shd w:val="clear" w:color="auto" w:fill="FFFFFF"/>
            <w:tcMar>
              <w:top w:w="90" w:type="dxa"/>
              <w:bottom w:w="90" w:type="dxa"/>
              <w:start w:w="120" w:type="dxa"/>
              <w:end w:w="120" w:type="dxa"/>
            </w:tcMar>
            <w:vAlign w:val="center"/>
          </w:tcPr>
          <w:p>
            <w:pPr>
              <w:pStyle w:val="MAKUTableBody"/>
              <w:jc w:val="left"/>
              <w:keepNext/>
            </w:pPr>
            <w:r>
              <w:t xml:space="preserve">1. ELT Developmental Portfolio - Lesson plans, instructional materials, observation reports, self/peer reflections, action research</w:t>
            </w:r>
          </w:p>
        </w:tc>
        <w:tc>
          <w:tcPr>
            <w:tcW w:w="3154" w:type="dxa"/>
            <w:shd w:val="clear" w:color="auto" w:fill="FFFFFF"/>
            <w:tcMar>
              <w:top w:w="90" w:type="dxa"/>
              <w:bottom w:w="90" w:type="dxa"/>
              <w:start w:w="120" w:type="dxa"/>
              <w:end w:w="120" w:type="dxa"/>
            </w:tcMar>
            <w:vAlign w:val="center"/>
          </w:tcPr>
          <w:p>
            <w:pPr>
              <w:pStyle w:val="MAKUTableBody"/>
              <w:jc w:val="left"/>
              <w:keepNext/>
            </w:pPr>
            <w:r>
              <w:t xml:space="preserve">University Practicum Supervisor</w:t>
            </w:r>
          </w:p>
        </w:tc>
        <w:tc>
          <w:tcPr>
            <w:tcW w:w="1376" w:type="dxa"/>
            <w:shd w:val="clear" w:color="auto" w:fill="FFFFFF"/>
            <w:tcMar>
              <w:top w:w="90" w:type="dxa"/>
              <w:bottom w:w="90" w:type="dxa"/>
              <w:start w:w="120" w:type="dxa"/>
              <w:end w:w="120" w:type="dxa"/>
            </w:tcMar>
            <w:vAlign w:val="center"/>
          </w:tcPr>
          <w:p>
            <w:pPr>
              <w:pStyle w:val="MAKUTableLabel"/>
              <w:jc w:val="center"/>
              <w:keepNext/>
            </w:pPr>
            <w:r>
              <w:t xml:space="preserve">30%</w:t>
            </w:r>
          </w:p>
        </w:tc>
      </w:tr>
      <w:tr>
        <w:trPr>
          <w:cantSplit w:val="true"/>
        </w:trPr>
        <w:tc>
          <w:tcPr>
            <w:tcW w:w="5448" w:type="dxa"/>
            <w:shd w:val="clear" w:color="auto" w:fill="F2F2F2"/>
            <w:tcMar>
              <w:top w:w="90" w:type="dxa"/>
              <w:bottom w:w="90" w:type="dxa"/>
              <w:start w:w="120" w:type="dxa"/>
              <w:end w:w="120" w:type="dxa"/>
            </w:tcMar>
            <w:vAlign w:val="center"/>
          </w:tcPr>
          <w:p>
            <w:pPr>
              <w:pStyle w:val="MAKUTableBody"/>
              <w:jc w:val="left"/>
              <w:keepNext/>
            </w:pPr>
            <w:r>
              <w:t xml:space="preserve">2. University Theoretical Seminar &amp; Supervisor Observations - Weekly seminar preparation, active contribution, 2 formal school observations</w:t>
            </w:r>
          </w:p>
        </w:tc>
        <w:tc>
          <w:tcPr>
            <w:tcW w:w="3154" w:type="dxa"/>
            <w:shd w:val="clear" w:color="auto" w:fill="F2F2F2"/>
            <w:tcMar>
              <w:top w:w="90" w:type="dxa"/>
              <w:bottom w:w="90" w:type="dxa"/>
              <w:start w:w="120" w:type="dxa"/>
              <w:end w:w="120" w:type="dxa"/>
            </w:tcMar>
            <w:vAlign w:val="center"/>
          </w:tcPr>
          <w:p>
            <w:pPr>
              <w:pStyle w:val="MAKUTableBody"/>
              <w:jc w:val="left"/>
              <w:keepNext/>
            </w:pPr>
            <w:r>
              <w:t xml:space="preserve">University Practicum Supervisor</w:t>
            </w:r>
          </w:p>
        </w:tc>
        <w:tc>
          <w:tcPr>
            <w:tcW w:w="1376" w:type="dxa"/>
            <w:shd w:val="clear" w:color="auto" w:fill="F2F2F2"/>
            <w:tcMar>
              <w:top w:w="90" w:type="dxa"/>
              <w:bottom w:w="90" w:type="dxa"/>
              <w:start w:w="120" w:type="dxa"/>
              <w:end w:w="120" w:type="dxa"/>
            </w:tcMar>
            <w:vAlign w:val="center"/>
          </w:tcPr>
          <w:p>
            <w:pPr>
              <w:pStyle w:val="MAKUTableLabel"/>
              <w:jc w:val="center"/>
              <w:keepNext/>
            </w:pPr>
            <w:r>
              <w:t xml:space="preserve">35%</w:t>
            </w:r>
          </w:p>
        </w:tc>
      </w:tr>
      <w:tr>
        <w:trPr>
          <w:cantSplit w:val="true"/>
        </w:trPr>
        <w:tc>
          <w:tcPr>
            <w:tcW w:w="5448" w:type="dxa"/>
            <w:shd w:val="clear" w:color="auto" w:fill="FFFFFF"/>
            <w:tcMar>
              <w:top w:w="90" w:type="dxa"/>
              <w:bottom w:w="90" w:type="dxa"/>
              <w:start w:w="120" w:type="dxa"/>
              <w:end w:w="120" w:type="dxa"/>
            </w:tcMar>
            <w:vAlign w:val="center"/>
          </w:tcPr>
          <w:p>
            <w:pPr>
              <w:pStyle w:val="MAKUTableBody"/>
              <w:jc w:val="left"/>
              <w:keepNext/>
            </w:pPr>
            <w:r>
              <w:t xml:space="preserve">3. School Practicum Performance &amp; Mentor Grade - Taught lessons, professionalism, attendance, MEBBİS/UOD scores</w:t>
            </w:r>
          </w:p>
        </w:tc>
        <w:tc>
          <w:tcPr>
            <w:tcW w:w="3154" w:type="dxa"/>
            <w:shd w:val="clear" w:color="auto" w:fill="FFFFFF"/>
            <w:tcMar>
              <w:top w:w="90" w:type="dxa"/>
              <w:bottom w:w="90" w:type="dxa"/>
              <w:start w:w="120" w:type="dxa"/>
              <w:end w:w="120" w:type="dxa"/>
            </w:tcMar>
            <w:vAlign w:val="center"/>
          </w:tcPr>
          <w:p>
            <w:pPr>
              <w:pStyle w:val="MAKUTableBody"/>
              <w:jc w:val="left"/>
              <w:keepNext/>
            </w:pPr>
            <w:r>
              <w:t xml:space="preserve">Mentor Teacher (Cooperating Teacher)</w:t>
            </w:r>
          </w:p>
        </w:tc>
        <w:tc>
          <w:tcPr>
            <w:tcW w:w="1376" w:type="dxa"/>
            <w:shd w:val="clear" w:color="auto" w:fill="FFFFFF"/>
            <w:tcMar>
              <w:top w:w="90" w:type="dxa"/>
              <w:bottom w:w="90" w:type="dxa"/>
              <w:start w:w="120" w:type="dxa"/>
              <w:end w:w="120" w:type="dxa"/>
            </w:tcMar>
            <w:vAlign w:val="center"/>
          </w:tcPr>
          <w:p>
            <w:pPr>
              <w:pStyle w:val="MAKUTableLabel"/>
              <w:jc w:val="center"/>
              <w:keepNext/>
            </w:pPr>
            <w:r>
              <w:t xml:space="preserve">35%</w:t>
            </w:r>
          </w:p>
        </w:tc>
      </w:tr>
      <w:tr>
        <w:trPr>
          <w:cantSplit w:val="true"/>
        </w:trPr>
        <w:tc>
          <w:tcPr>
            <w:tcW w:w="5448" w:type="dxa"/>
            <w:shd w:val="clear" w:color="auto" w:fill="E7E6E6"/>
            <w:tcMar>
              <w:top w:w="90" w:type="dxa"/>
              <w:bottom w:w="90" w:type="dxa"/>
              <w:start w:w="120" w:type="dxa"/>
              <w:end w:w="120" w:type="dxa"/>
            </w:tcMar>
            <w:vAlign w:val="center"/>
          </w:tcPr>
          <w:p>
            <w:pPr>
              <w:pStyle w:val="MAKUTableTotal"/>
              <w:jc w:val="left"/>
            </w:pPr>
            <w:r>
              <w:t xml:space="preserve">TOTAL</w:t>
            </w:r>
          </w:p>
        </w:tc>
        <w:tc>
          <w:tcPr>
            <w:tcW w:w="3154" w:type="dxa"/>
            <w:shd w:val="clear" w:color="auto" w:fill="E7E6E6"/>
            <w:tcMar>
              <w:top w:w="90" w:type="dxa"/>
              <w:bottom w:w="90" w:type="dxa"/>
              <w:start w:w="120" w:type="dxa"/>
              <w:end w:w="120" w:type="dxa"/>
            </w:tcMar>
            <w:vAlign w:val="center"/>
          </w:tcPr>
          <w:p>
            <w:pPr>
              <w:pStyle w:val="MAKUTableTotal"/>
              <w:jc w:val="center"/>
            </w:pPr>
            <w:r>
              <w:t xml:space="preserve">Combined Institutional Evaluation</w:t>
            </w:r>
          </w:p>
        </w:tc>
        <w:tc>
          <w:tcPr>
            <w:tcW w:w="1376" w:type="dxa"/>
            <w:shd w:val="clear" w:color="auto" w:fill="E7E6E6"/>
            <w:tcMar>
              <w:top w:w="90" w:type="dxa"/>
              <w:bottom w:w="90" w:type="dxa"/>
              <w:start w:w="120" w:type="dxa"/>
              <w:end w:w="120" w:type="dxa"/>
            </w:tcMar>
            <w:vAlign w:val="center"/>
          </w:tcPr>
          <w:p>
            <w:pPr>
              <w:pStyle w:val="MAKUTableTotal"/>
              <w:jc w:val="center"/>
            </w:pPr>
            <w:r>
              <w:t xml:space="preserve">100%</w:t>
            </w:r>
          </w:p>
        </w:tc>
      </w:tr>
    </w:tbl>
    <w:p>
      <w:pPr>
        <w:pStyle w:val="MAKUSpacer"/>
      </w:pPr>
    </w:p>
    <w:p>
      <w:pPr>
        <w:pStyle w:val="Heading2"/>
      </w:pPr>
      <w:r>
        <w:t xml:space="preserve">6.1. MEBBİS / UOD 138-Point Analytic Assessment Rubric</w:t>
      </w:r>
    </w:p>
    <w:p>
      <w:pPr/>
      <w:r>
        <w:t xml:space="preserve">University supervisors and mentor teachers evaluate each taught lesson across 6 core domains (46 sub-criteria, rated 1-3 points each, max 138 points):</w:t>
      </w:r>
    </w:p>
    <w:p>
      <w:pPr>
        <w:pStyle w:val="MAKUBullet"/>
      </w:pPr>
      <w:r>
        <w:t xml:space="preserve">• 1. Subject Matter &amp; ELT Pedagogical Knowledge (1.1 - 1.8): SLA principles, structural/lexical/phonological accuracy, EdTech integration (24 Pts).</w:t>
      </w:r>
    </w:p>
    <w:p>
      <w:pPr>
        <w:pStyle w:val="MAKUBullet"/>
      </w:pPr>
      <w:r>
        <w:t xml:space="preserve">• 2. Teaching-Learning Process &amp; Delivery (2.1 - 2.8): CEFR outcome alignment, PPP/TBLT stages, time management, STT balance, UDL differentiation (24 Pts).</w:t>
      </w:r>
    </w:p>
    <w:p>
      <w:pPr>
        <w:pStyle w:val="MAKUBullet"/>
      </w:pPr>
      <w:r>
        <w:t xml:space="preserve">• 3. Classroom Management &amp; Climate (3.1 - 3.5): Lesson entry/warm-up, motivation, managing disruptions, fair praise, effective closure (15 Pts).</w:t>
      </w:r>
    </w:p>
    <w:p>
      <w:pPr>
        <w:pStyle w:val="MAKUBullet"/>
      </w:pPr>
      <w:r>
        <w:t xml:space="preserve">• 4. Communication &amp; Target Language Interaction (4.1 - 4.4): English medium consistency, clear ICQs, targeted CCQs, body language, active listening (12 Pts).</w:t>
      </w:r>
    </w:p>
    <w:p>
      <w:pPr>
        <w:pStyle w:val="MAKUBullet"/>
      </w:pPr>
      <w:r>
        <w:t xml:space="preserve">• 5. Assessment, Feedback &amp; Record Keeping (5.1 - 5.4): Formative tools, level-appropriate feedback, transparent grading, tracking records (12 Pts).</w:t>
      </w:r>
    </w:p>
    <w:p>
      <w:pPr>
        <w:pStyle w:val="MAKUBullet"/>
      </w:pPr>
      <w:r>
        <w:t xml:space="preserve">• 6. Professionalism, Ethics &amp; Value-Virtue-Action Integration (6.1 - 6.4): Regulatory awareness, collaboration, school ethos, embedding core virtues (justice, respect) into action (12 Pts).</w:t>
      </w:r>
    </w:p>
    <w:p>
      <w:pPr>
        <w:pStyle w:val="Heading1"/>
        <w:pBdr>
          <w:bottom w:val="single" w:sz="6" w:space="4" w:color="7F7F7F"/>
        </w:pBdr>
      </w:pPr>
      <w:r>
        <w:t xml:space="preserve">SECTION VII: APPENDICES &amp; STANDARD FORMS</w:t>
      </w:r>
    </w:p>
    <w:p>
      <w:pPr/>
      <w:r>
        <w:t xml:space="preserve">The standard forms required in the teaching practicum portfolio are outlined below:</w:t>
      </w:r>
    </w:p>
    <w:tbl>
      <w:tblPr>
        <w:tblW w:w="9978" w:type="dxa"/>
        <w:jc w:val="left"/>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Ind w:type="dxa" w:w="120"/>
      </w:tblPr>
      <w:tblGrid>
        <w:gridCol w:w="1262"/>
        <w:gridCol w:w="4817"/>
        <w:gridCol w:w="3899"/>
      </w:tblGrid>
      <w:tr>
        <w:trPr>
          <w:tblHeader w:val="true"/>
          <w:cantSplit w:val="true"/>
        </w:trPr>
        <w:tc>
          <w:tcPr>
            <w:tcW w:w="1262" w:type="dxa"/>
            <w:shd w:val="clear" w:color="auto" w:fill="3F3F3F"/>
            <w:tcMar>
              <w:top w:w="90" w:type="dxa"/>
              <w:bottom w:w="90" w:type="dxa"/>
              <w:start w:w="120" w:type="dxa"/>
              <w:end w:w="120" w:type="dxa"/>
            </w:tcMar>
            <w:vAlign w:val="center"/>
          </w:tcPr>
          <w:p>
            <w:pPr>
              <w:pStyle w:val="MAKUTableHeader"/>
              <w:jc w:val="center"/>
              <w:keepNext/>
            </w:pPr>
            <w:r>
              <w:t>Appendix</w:t>
            </w:r>
          </w:p>
        </w:tc>
        <w:tc>
          <w:tcPr>
            <w:tcW w:w="4817" w:type="dxa"/>
            <w:shd w:val="clear" w:color="auto" w:fill="3F3F3F"/>
            <w:tcMar>
              <w:top w:w="90" w:type="dxa"/>
              <w:bottom w:w="90" w:type="dxa"/>
              <w:start w:w="120" w:type="dxa"/>
              <w:end w:w="120" w:type="dxa"/>
            </w:tcMar>
            <w:vAlign w:val="center"/>
          </w:tcPr>
          <w:p>
            <w:pPr>
              <w:pStyle w:val="MAKUTableHeader"/>
              <w:jc w:val="center"/>
              <w:keepNext/>
            </w:pPr>
            <w:r>
              <w:t>Form Title</w:t>
            </w:r>
          </w:p>
        </w:tc>
        <w:tc>
          <w:tcPr>
            <w:tcW w:w="3899" w:type="dxa"/>
            <w:shd w:val="clear" w:color="auto" w:fill="3F3F3F"/>
            <w:tcMar>
              <w:top w:w="90" w:type="dxa"/>
              <w:bottom w:w="90" w:type="dxa"/>
              <w:start w:w="120" w:type="dxa"/>
              <w:end w:w="120" w:type="dxa"/>
            </w:tcMar>
            <w:vAlign w:val="center"/>
          </w:tcPr>
          <w:p>
            <w:pPr>
              <w:pStyle w:val="MAKUTableHeader"/>
              <w:jc w:val="center"/>
              <w:keepNext/>
            </w:pPr>
            <w:r>
              <w:t>Responsible Party</w:t>
            </w:r>
          </w:p>
        </w:tc>
      </w:tr>
      <w:tr>
        <w:trPr>
          <w:cantSplit w:val="true"/>
        </w:trPr>
        <w:tc>
          <w:tcPr>
            <w:tcW w:w="1262" w:type="dxa"/>
            <w:shd w:val="clear" w:color="auto" w:fill="FFFFFF"/>
            <w:tcMar>
              <w:top w:w="90" w:type="dxa"/>
              <w:bottom w:w="90" w:type="dxa"/>
              <w:start w:w="120" w:type="dxa"/>
              <w:end w:w="120" w:type="dxa"/>
            </w:tcMar>
            <w:vAlign w:val="center"/>
          </w:tcPr>
          <w:p>
            <w:pPr>
              <w:pStyle w:val="MAKUTableLabel"/>
              <w:jc w:val="center"/>
              <w:keepNext/>
            </w:pPr>
            <w:r>
              <w:t xml:space="preserve">Appendix 1</w:t>
            </w:r>
          </w:p>
        </w:tc>
        <w:tc>
          <w:tcPr>
            <w:tcW w:w="4817" w:type="dxa"/>
            <w:shd w:val="clear" w:color="auto" w:fill="FFFFFF"/>
            <w:tcMar>
              <w:top w:w="90" w:type="dxa"/>
              <w:bottom w:w="90" w:type="dxa"/>
              <w:start w:w="120" w:type="dxa"/>
              <w:end w:w="120" w:type="dxa"/>
            </w:tcMar>
            <w:vAlign w:val="center"/>
          </w:tcPr>
          <w:p>
            <w:pPr>
              <w:pStyle w:val="MAKUTableBody"/>
              <w:jc w:val="left"/>
              <w:keepNext/>
            </w:pPr>
            <w:r>
              <w:t xml:space="preserve">ELT Classroom Observation Form</w:t>
            </w:r>
          </w:p>
        </w:tc>
        <w:tc>
          <w:tcPr>
            <w:tcW w:w="3899" w:type="dxa"/>
            <w:shd w:val="clear" w:color="auto" w:fill="FFFFFF"/>
            <w:tcMar>
              <w:top w:w="90" w:type="dxa"/>
              <w:bottom w:w="90" w:type="dxa"/>
              <w:start w:w="120" w:type="dxa"/>
              <w:end w:w="120" w:type="dxa"/>
            </w:tcMar>
            <w:vAlign w:val="center"/>
          </w:tcPr>
          <w:p>
            <w:pPr>
              <w:pStyle w:val="MAKUTableBody"/>
              <w:jc w:val="left"/>
              <w:keepNext/>
            </w:pPr>
            <w:r>
              <w:t xml:space="preserve">Student-Teacher</w:t>
            </w:r>
          </w:p>
        </w:tc>
      </w:tr>
      <w:tr>
        <w:trPr>
          <w:cantSplit w:val="true"/>
        </w:trPr>
        <w:tc>
          <w:tcPr>
            <w:tcW w:w="1262" w:type="dxa"/>
            <w:shd w:val="clear" w:color="auto" w:fill="F2F2F2"/>
            <w:tcMar>
              <w:top w:w="90" w:type="dxa"/>
              <w:bottom w:w="90" w:type="dxa"/>
              <w:start w:w="120" w:type="dxa"/>
              <w:end w:w="120" w:type="dxa"/>
            </w:tcMar>
            <w:vAlign w:val="center"/>
          </w:tcPr>
          <w:p>
            <w:pPr>
              <w:pStyle w:val="MAKUTableLabel"/>
              <w:jc w:val="center"/>
              <w:keepNext/>
            </w:pPr>
            <w:r>
              <w:t xml:space="preserve">Appendix 2</w:t>
            </w:r>
          </w:p>
        </w:tc>
        <w:tc>
          <w:tcPr>
            <w:tcW w:w="4817" w:type="dxa"/>
            <w:shd w:val="clear" w:color="auto" w:fill="F2F2F2"/>
            <w:tcMar>
              <w:top w:w="90" w:type="dxa"/>
              <w:bottom w:w="90" w:type="dxa"/>
              <w:start w:w="120" w:type="dxa"/>
              <w:end w:w="120" w:type="dxa"/>
            </w:tcMar>
            <w:vAlign w:val="center"/>
          </w:tcPr>
          <w:p>
            <w:pPr>
              <w:pStyle w:val="MAKUTableBody"/>
              <w:jc w:val="left"/>
              <w:keepNext/>
            </w:pPr>
            <w:r>
              <w:t xml:space="preserve">Mentor Teacher Analytic Evaluation Form (138 Pts)</w:t>
            </w:r>
          </w:p>
        </w:tc>
        <w:tc>
          <w:tcPr>
            <w:tcW w:w="3899" w:type="dxa"/>
            <w:shd w:val="clear" w:color="auto" w:fill="F2F2F2"/>
            <w:tcMar>
              <w:top w:w="90" w:type="dxa"/>
              <w:bottom w:w="90" w:type="dxa"/>
              <w:start w:w="120" w:type="dxa"/>
              <w:end w:w="120" w:type="dxa"/>
            </w:tcMar>
            <w:vAlign w:val="center"/>
          </w:tcPr>
          <w:p>
            <w:pPr>
              <w:pStyle w:val="MAKUTableBody"/>
              <w:jc w:val="left"/>
              <w:keepNext/>
            </w:pPr>
            <w:r>
              <w:t xml:space="preserve">Mentor Teacher (Cooperating Teacher)</w:t>
            </w:r>
          </w:p>
        </w:tc>
      </w:tr>
      <w:tr>
        <w:trPr>
          <w:cantSplit w:val="true"/>
        </w:trPr>
        <w:tc>
          <w:tcPr>
            <w:tcW w:w="1262" w:type="dxa"/>
            <w:shd w:val="clear" w:color="auto" w:fill="FFFFFF"/>
            <w:tcMar>
              <w:top w:w="90" w:type="dxa"/>
              <w:bottom w:w="90" w:type="dxa"/>
              <w:start w:w="120" w:type="dxa"/>
              <w:end w:w="120" w:type="dxa"/>
            </w:tcMar>
            <w:vAlign w:val="center"/>
          </w:tcPr>
          <w:p>
            <w:pPr>
              <w:pStyle w:val="MAKUTableLabel"/>
              <w:jc w:val="center"/>
              <w:keepNext/>
            </w:pPr>
            <w:r>
              <w:t xml:space="preserve">Appendix 3</w:t>
            </w:r>
          </w:p>
        </w:tc>
        <w:tc>
          <w:tcPr>
            <w:tcW w:w="4817" w:type="dxa"/>
            <w:shd w:val="clear" w:color="auto" w:fill="FFFFFF"/>
            <w:tcMar>
              <w:top w:w="90" w:type="dxa"/>
              <w:bottom w:w="90" w:type="dxa"/>
              <w:start w:w="120" w:type="dxa"/>
              <w:end w:w="120" w:type="dxa"/>
            </w:tcMar>
            <w:vAlign w:val="center"/>
          </w:tcPr>
          <w:p>
            <w:pPr>
              <w:pStyle w:val="MAKUTableBody"/>
              <w:jc w:val="left"/>
              <w:keepNext/>
            </w:pPr>
            <w:r>
              <w:t xml:space="preserve">ELT Peer Observation &amp; Feedback Form</w:t>
            </w:r>
          </w:p>
        </w:tc>
        <w:tc>
          <w:tcPr>
            <w:tcW w:w="3899" w:type="dxa"/>
            <w:shd w:val="clear" w:color="auto" w:fill="FFFFFF"/>
            <w:tcMar>
              <w:top w:w="90" w:type="dxa"/>
              <w:bottom w:w="90" w:type="dxa"/>
              <w:start w:w="120" w:type="dxa"/>
              <w:end w:w="120" w:type="dxa"/>
            </w:tcMar>
            <w:vAlign w:val="center"/>
          </w:tcPr>
          <w:p>
            <w:pPr>
              <w:pStyle w:val="MAKUTableBody"/>
              <w:jc w:val="left"/>
              <w:keepNext/>
            </w:pPr>
            <w:r>
              <w:t xml:space="preserve">Peer Student-Teacher</w:t>
            </w:r>
          </w:p>
        </w:tc>
      </w:tr>
      <w:tr>
        <w:trPr>
          <w:cantSplit w:val="true"/>
        </w:trPr>
        <w:tc>
          <w:tcPr>
            <w:tcW w:w="1262" w:type="dxa"/>
            <w:shd w:val="clear" w:color="auto" w:fill="F2F2F2"/>
            <w:tcMar>
              <w:top w:w="90" w:type="dxa"/>
              <w:bottom w:w="90" w:type="dxa"/>
              <w:start w:w="120" w:type="dxa"/>
              <w:end w:w="120" w:type="dxa"/>
            </w:tcMar>
            <w:vAlign w:val="center"/>
          </w:tcPr>
          <w:p>
            <w:pPr>
              <w:pStyle w:val="MAKUTableLabel"/>
              <w:jc w:val="center"/>
              <w:keepNext/>
            </w:pPr>
            <w:r>
              <w:t xml:space="preserve">Appendix 4</w:t>
            </w:r>
          </w:p>
        </w:tc>
        <w:tc>
          <w:tcPr>
            <w:tcW w:w="4817" w:type="dxa"/>
            <w:shd w:val="clear" w:color="auto" w:fill="F2F2F2"/>
            <w:tcMar>
              <w:top w:w="90" w:type="dxa"/>
              <w:bottom w:w="90" w:type="dxa"/>
              <w:start w:w="120" w:type="dxa"/>
              <w:end w:w="120" w:type="dxa"/>
            </w:tcMar>
            <w:vAlign w:val="center"/>
          </w:tcPr>
          <w:p>
            <w:pPr>
              <w:pStyle w:val="MAKUTableBody"/>
              <w:jc w:val="left"/>
              <w:keepNext/>
            </w:pPr>
            <w:r>
              <w:t xml:space="preserve">ELT Self-Reflection Form</w:t>
            </w:r>
          </w:p>
        </w:tc>
        <w:tc>
          <w:tcPr>
            <w:tcW w:w="3899" w:type="dxa"/>
            <w:shd w:val="clear" w:color="auto" w:fill="F2F2F2"/>
            <w:tcMar>
              <w:top w:w="90" w:type="dxa"/>
              <w:bottom w:w="90" w:type="dxa"/>
              <w:start w:w="120" w:type="dxa"/>
              <w:end w:w="120" w:type="dxa"/>
            </w:tcMar>
            <w:vAlign w:val="center"/>
          </w:tcPr>
          <w:p>
            <w:pPr>
              <w:pStyle w:val="MAKUTableBody"/>
              <w:jc w:val="left"/>
              <w:keepNext/>
            </w:pPr>
            <w:r>
              <w:t xml:space="preserve">Student-Teacher</w:t>
            </w:r>
          </w:p>
        </w:tc>
      </w:tr>
      <w:tr>
        <w:trPr>
          <w:cantSplit w:val="true"/>
        </w:trPr>
        <w:tc>
          <w:tcPr>
            <w:tcW w:w="1262" w:type="dxa"/>
            <w:shd w:val="clear" w:color="auto" w:fill="FFFFFF"/>
            <w:tcMar>
              <w:top w:w="90" w:type="dxa"/>
              <w:bottom w:w="90" w:type="dxa"/>
              <w:start w:w="120" w:type="dxa"/>
              <w:end w:w="120" w:type="dxa"/>
            </w:tcMar>
            <w:vAlign w:val="center"/>
          </w:tcPr>
          <w:p>
            <w:pPr>
              <w:pStyle w:val="MAKUTableLabel"/>
              <w:jc w:val="center"/>
              <w:keepNext/>
            </w:pPr>
            <w:r>
              <w:t xml:space="preserve">Appendix 5</w:t>
            </w:r>
          </w:p>
        </w:tc>
        <w:tc>
          <w:tcPr>
            <w:tcW w:w="4817" w:type="dxa"/>
            <w:shd w:val="clear" w:color="auto" w:fill="FFFFFF"/>
            <w:tcMar>
              <w:top w:w="90" w:type="dxa"/>
              <w:bottom w:w="90" w:type="dxa"/>
              <w:start w:w="120" w:type="dxa"/>
              <w:end w:w="120" w:type="dxa"/>
            </w:tcMar>
            <w:vAlign w:val="center"/>
          </w:tcPr>
          <w:p>
            <w:pPr>
              <w:pStyle w:val="MAKUTableBody"/>
              <w:jc w:val="left"/>
              <w:keepNext/>
            </w:pPr>
            <w:r>
              <w:t xml:space="preserve">ELT Lesson Plan Checklist</w:t>
            </w:r>
          </w:p>
        </w:tc>
        <w:tc>
          <w:tcPr>
            <w:tcW w:w="3899" w:type="dxa"/>
            <w:shd w:val="clear" w:color="auto" w:fill="FFFFFF"/>
            <w:tcMar>
              <w:top w:w="90" w:type="dxa"/>
              <w:bottom w:w="90" w:type="dxa"/>
              <w:start w:w="120" w:type="dxa"/>
              <w:end w:w="120" w:type="dxa"/>
            </w:tcMar>
            <w:vAlign w:val="center"/>
          </w:tcPr>
          <w:p>
            <w:pPr>
              <w:pStyle w:val="MAKUTableBody"/>
              <w:jc w:val="left"/>
              <w:keepNext/>
            </w:pPr>
            <w:r>
              <w:t xml:space="preserve">Student-Teacher</w:t>
            </w:r>
          </w:p>
        </w:tc>
      </w:tr>
      <w:tr>
        <w:trPr>
          <w:cantSplit w:val="true"/>
        </w:trPr>
        <w:tc>
          <w:tcPr>
            <w:tcW w:w="1262" w:type="dxa"/>
            <w:shd w:val="clear" w:color="auto" w:fill="F2F2F2"/>
            <w:tcMar>
              <w:top w:w="90" w:type="dxa"/>
              <w:bottom w:w="90" w:type="dxa"/>
              <w:start w:w="120" w:type="dxa"/>
              <w:end w:w="120" w:type="dxa"/>
            </w:tcMar>
            <w:vAlign w:val="center"/>
          </w:tcPr>
          <w:p>
            <w:pPr>
              <w:pStyle w:val="MAKUTableLabel"/>
              <w:jc w:val="center"/>
              <w:keepNext/>
            </w:pPr>
            <w:r>
              <w:t xml:space="preserve">Appendix 6</w:t>
            </w:r>
          </w:p>
        </w:tc>
        <w:tc>
          <w:tcPr>
            <w:tcW w:w="4817" w:type="dxa"/>
            <w:shd w:val="clear" w:color="auto" w:fill="F2F2F2"/>
            <w:tcMar>
              <w:top w:w="90" w:type="dxa"/>
              <w:bottom w:w="90" w:type="dxa"/>
              <w:start w:w="120" w:type="dxa"/>
              <w:end w:w="120" w:type="dxa"/>
            </w:tcMar>
            <w:vAlign w:val="center"/>
          </w:tcPr>
          <w:p>
            <w:pPr>
              <w:pStyle w:val="MAKUTableBody"/>
              <w:jc w:val="left"/>
              <w:keepNext/>
            </w:pPr>
            <w:r>
              <w:t xml:space="preserve">ELT Standard Lesson Plan Template (PPP/TBLT)</w:t>
            </w:r>
          </w:p>
        </w:tc>
        <w:tc>
          <w:tcPr>
            <w:tcW w:w="3899" w:type="dxa"/>
            <w:shd w:val="clear" w:color="auto" w:fill="F2F2F2"/>
            <w:tcMar>
              <w:top w:w="90" w:type="dxa"/>
              <w:bottom w:w="90" w:type="dxa"/>
              <w:start w:w="120" w:type="dxa"/>
              <w:end w:w="120" w:type="dxa"/>
            </w:tcMar>
            <w:vAlign w:val="center"/>
          </w:tcPr>
          <w:p>
            <w:pPr>
              <w:pStyle w:val="MAKUTableBody"/>
              <w:jc w:val="left"/>
              <w:keepNext/>
            </w:pPr>
            <w:r>
              <w:t xml:space="preserve">Student-Teacher</w:t>
            </w:r>
          </w:p>
        </w:tc>
      </w:tr>
      <w:tr>
        <w:trPr>
          <w:cantSplit w:val="true"/>
        </w:trPr>
        <w:tc>
          <w:tcPr>
            <w:tcW w:w="1262" w:type="dxa"/>
            <w:shd w:val="clear" w:color="auto" w:fill="FFFFFF"/>
            <w:tcMar>
              <w:top w:w="90" w:type="dxa"/>
              <w:bottom w:w="90" w:type="dxa"/>
              <w:start w:w="120" w:type="dxa"/>
              <w:end w:w="120" w:type="dxa"/>
            </w:tcMar>
            <w:vAlign w:val="center"/>
          </w:tcPr>
          <w:p>
            <w:pPr>
              <w:pStyle w:val="MAKUTableLabel"/>
              <w:jc w:val="center"/>
              <w:keepNext/>
            </w:pPr>
            <w:r>
              <w:t xml:space="preserve">Appendix 7</w:t>
            </w:r>
          </w:p>
        </w:tc>
        <w:tc>
          <w:tcPr>
            <w:tcW w:w="4817" w:type="dxa"/>
            <w:shd w:val="clear" w:color="auto" w:fill="FFFFFF"/>
            <w:tcMar>
              <w:top w:w="90" w:type="dxa"/>
              <w:bottom w:w="90" w:type="dxa"/>
              <w:start w:w="120" w:type="dxa"/>
              <w:end w:w="120" w:type="dxa"/>
            </w:tcMar>
            <w:vAlign w:val="center"/>
          </w:tcPr>
          <w:p>
            <w:pPr>
              <w:pStyle w:val="MAKUTableBody"/>
              <w:jc w:val="left"/>
              <w:keepNext/>
            </w:pPr>
            <w:r>
              <w:t xml:space="preserve">Practicum Attendance Sheet</w:t>
            </w:r>
          </w:p>
        </w:tc>
        <w:tc>
          <w:tcPr>
            <w:tcW w:w="3899" w:type="dxa"/>
            <w:shd w:val="clear" w:color="auto" w:fill="FFFFFF"/>
            <w:tcMar>
              <w:top w:w="90" w:type="dxa"/>
              <w:bottom w:w="90" w:type="dxa"/>
              <w:start w:w="120" w:type="dxa"/>
              <w:end w:w="120" w:type="dxa"/>
            </w:tcMar>
            <w:vAlign w:val="center"/>
          </w:tcPr>
          <w:p>
            <w:pPr>
              <w:pStyle w:val="MAKUTableBody"/>
              <w:jc w:val="left"/>
              <w:keepNext/>
            </w:pPr>
            <w:r>
              <w:t xml:space="preserve">Mentor Teacher &amp; School Principal</w:t>
            </w:r>
          </w:p>
        </w:tc>
      </w:tr>
      <w:tr>
        <w:trPr>
          <w:cantSplit w:val="true"/>
        </w:trPr>
        <w:tc>
          <w:tcPr>
            <w:tcW w:w="1262" w:type="dxa"/>
            <w:shd w:val="clear" w:color="auto" w:fill="F2F2F2"/>
            <w:tcMar>
              <w:top w:w="90" w:type="dxa"/>
              <w:bottom w:w="90" w:type="dxa"/>
              <w:start w:w="120" w:type="dxa"/>
              <w:end w:w="120" w:type="dxa"/>
            </w:tcMar>
            <w:vAlign w:val="center"/>
          </w:tcPr>
          <w:p>
            <w:pPr>
              <w:pStyle w:val="MAKUTableLabel"/>
              <w:jc w:val="center"/>
            </w:pPr>
            <w:r>
              <w:t xml:space="preserve">Appendix 8</w:t>
            </w:r>
          </w:p>
        </w:tc>
        <w:tc>
          <w:tcPr>
            <w:tcW w:w="4817" w:type="dxa"/>
            <w:shd w:val="clear" w:color="auto" w:fill="F2F2F2"/>
            <w:tcMar>
              <w:top w:w="90" w:type="dxa"/>
              <w:bottom w:w="90" w:type="dxa"/>
              <w:start w:w="120" w:type="dxa"/>
              <w:end w:w="120" w:type="dxa"/>
            </w:tcMar>
            <w:vAlign w:val="center"/>
          </w:tcPr>
          <w:p>
            <w:pPr>
              <w:pStyle w:val="MAKUTableBody"/>
              <w:jc w:val="left"/>
            </w:pPr>
            <w:r>
              <w:t xml:space="preserve">Portfolio Submission &amp; Evaluation Checklist</w:t>
            </w:r>
          </w:p>
        </w:tc>
        <w:tc>
          <w:tcPr>
            <w:tcW w:w="3899" w:type="dxa"/>
            <w:shd w:val="clear" w:color="auto" w:fill="F2F2F2"/>
            <w:tcMar>
              <w:top w:w="90" w:type="dxa"/>
              <w:bottom w:w="90" w:type="dxa"/>
              <w:start w:w="120" w:type="dxa"/>
              <w:end w:w="120" w:type="dxa"/>
            </w:tcMar>
            <w:vAlign w:val="center"/>
          </w:tcPr>
          <w:p>
            <w:pPr>
              <w:pStyle w:val="MAKUTableBody"/>
              <w:jc w:val="left"/>
            </w:pPr>
            <w:r>
              <w:t xml:space="preserve">University Practicum Supervisor</w:t>
            </w:r>
          </w:p>
        </w:tc>
      </w:tr>
    </w:tbl>
    <w:p>
      <w:pPr>
        <w:pStyle w:val="MAKUSpacer"/>
      </w:pPr>
    </w:p>
    <w:p>
      <w:pPr>
        <w:pStyle w:val="Heading1"/>
        <w:pBdr>
          <w:bottom w:val="single" w:sz="6" w:space="4" w:color="7F7F7F"/>
        </w:pBdr>
      </w:pPr>
      <w:r>
        <w:t xml:space="preserve">SECTION VIII: REFERENCES</w:t>
      </w:r>
    </w:p>
    <w:p>
      <w:pPr>
        <w:pStyle w:val="MAKUReference"/>
      </w:pPr>
      <w:r>
        <w:rPr>
          <w:rFonts w:ascii="Arial" w:hAnsi="Arial" w:eastAsia="Arial" w:cs="Arial"/>
          <w:b w:val="0"/>
          <w:i w:val="0"/>
          <w:sz w:val="22"/>
          <w:u w:val="none"/>
        </w:rPr>
        <w:t xml:space="preserve">Brookfield, S. (2017). </w:t>
      </w:r>
      <w:r>
        <w:rPr>
          <w:rFonts w:ascii="Arial" w:hAnsi="Arial" w:eastAsia="Arial" w:cs="Arial"/>
          <w:b w:val="0"/>
          <w:i/>
          <w:sz w:val="22"/>
          <w:u w:val="none"/>
        </w:rPr>
        <w:t>Becoming a critically reflective teacher (2nd ed.).</w:t>
      </w:r>
      <w:r>
        <w:rPr>
          <w:rFonts w:ascii="Arial" w:hAnsi="Arial" w:eastAsia="Arial" w:cs="Arial"/>
          <w:b w:val="0"/>
          <w:i w:val="0"/>
          <w:sz w:val="22"/>
          <w:u w:val="none"/>
        </w:rPr>
        <w:t xml:space="preserve"> Jossey-Bass.</w:t>
      </w:r>
    </w:p>
    <w:p>
      <w:pPr>
        <w:pStyle w:val="MAKUReference"/>
      </w:pPr>
      <w:r>
        <w:rPr>
          <w:rFonts w:ascii="Arial" w:hAnsi="Arial" w:eastAsia="Arial" w:cs="Arial"/>
          <w:b w:val="0"/>
          <w:i w:val="0"/>
          <w:sz w:val="22"/>
          <w:u w:val="none"/>
        </w:rPr>
        <w:t xml:space="preserve">Brown, H. D., &amp; Abeywickrama, P. (2018). </w:t>
      </w:r>
      <w:r>
        <w:rPr>
          <w:rFonts w:ascii="Arial" w:hAnsi="Arial" w:eastAsia="Arial" w:cs="Arial"/>
          <w:b w:val="0"/>
          <w:i/>
          <w:sz w:val="22"/>
          <w:u w:val="none"/>
        </w:rPr>
        <w:t>Language assessment: Principles and classroom practices (3rd ed.).</w:t>
      </w:r>
      <w:r>
        <w:rPr>
          <w:rFonts w:ascii="Arial" w:hAnsi="Arial" w:eastAsia="Arial" w:cs="Arial"/>
          <w:b w:val="0"/>
          <w:i w:val="0"/>
          <w:sz w:val="22"/>
          <w:u w:val="none"/>
        </w:rPr>
        <w:t xml:space="preserve"> Pearson.</w:t>
      </w:r>
    </w:p>
    <w:p>
      <w:pPr>
        <w:pStyle w:val="MAKUReference"/>
      </w:pPr>
      <w:r>
        <w:rPr>
          <w:rFonts w:ascii="Arial" w:hAnsi="Arial" w:eastAsia="Arial" w:cs="Arial"/>
          <w:b w:val="0"/>
          <w:i w:val="0"/>
          <w:sz w:val="22"/>
          <w:u w:val="none"/>
        </w:rPr>
        <w:t xml:space="preserve">Burns, A., &amp; Dikilitaş, K. (Eds.). (2024). </w:t>
      </w:r>
      <w:r>
        <w:rPr>
          <w:rFonts w:ascii="Arial" w:hAnsi="Arial" w:eastAsia="Arial" w:cs="Arial"/>
          <w:b w:val="0"/>
          <w:i/>
          <w:sz w:val="22"/>
          <w:u w:val="none"/>
        </w:rPr>
        <w:t>The Routledge handbook of language teacher action research.</w:t>
      </w:r>
      <w:r>
        <w:rPr>
          <w:rFonts w:ascii="Arial" w:hAnsi="Arial" w:eastAsia="Arial" w:cs="Arial"/>
          <w:b w:val="0"/>
          <w:i w:val="0"/>
          <w:sz w:val="22"/>
          <w:u w:val="none"/>
        </w:rPr>
        <w:t xml:space="preserve"> Routledge.</w:t>
      </w:r>
    </w:p>
    <w:p>
      <w:pPr>
        <w:pStyle w:val="MAKUReference"/>
      </w:pPr>
      <w:r>
        <w:rPr>
          <w:rFonts w:ascii="Arial" w:hAnsi="Arial" w:eastAsia="Arial" w:cs="Arial"/>
          <w:b w:val="0"/>
          <w:i w:val="0"/>
          <w:sz w:val="22"/>
          <w:u w:val="none"/>
        </w:rPr>
        <w:t xml:space="preserve">CAST. (2024). </w:t>
      </w:r>
      <w:r>
        <w:rPr>
          <w:rFonts w:ascii="Arial" w:hAnsi="Arial" w:eastAsia="Arial" w:cs="Arial"/>
          <w:b w:val="0"/>
          <w:i/>
          <w:sz w:val="22"/>
          <w:u w:val="none"/>
        </w:rPr>
        <w:t>Universal Design for Learning guidelines version 3.0.</w:t>
      </w:r>
      <w:r>
        <w:rPr>
          <w:rFonts w:ascii="Arial" w:hAnsi="Arial" w:eastAsia="Arial" w:cs="Arial"/>
          <w:b w:val="0"/>
          <w:i w:val="0"/>
          <w:sz w:val="22"/>
          <w:u w:val="none"/>
        </w:rPr>
        <w:t xml:space="preserve"> https://udlguidelines.cast.org/</w:t>
      </w:r>
    </w:p>
    <w:p>
      <w:pPr>
        <w:pStyle w:val="MAKUReference"/>
      </w:pPr>
      <w:r>
        <w:rPr>
          <w:rFonts w:ascii="Arial" w:hAnsi="Arial" w:eastAsia="Arial" w:cs="Arial"/>
          <w:b w:val="0"/>
          <w:i w:val="0"/>
          <w:sz w:val="22"/>
          <w:u w:val="none"/>
        </w:rPr>
        <w:t xml:space="preserve">Celce-Murcia, M., Brinton, D. M., &amp; Goodwin, J. M. (2010). </w:t>
      </w:r>
      <w:r>
        <w:rPr>
          <w:rFonts w:ascii="Arial" w:hAnsi="Arial" w:eastAsia="Arial" w:cs="Arial"/>
          <w:b w:val="0"/>
          <w:i/>
          <w:sz w:val="22"/>
          <w:u w:val="none"/>
        </w:rPr>
        <w:t>Teaching pronunciation: A course book and reference guide (2nd ed.).</w:t>
      </w:r>
      <w:r>
        <w:rPr>
          <w:rFonts w:ascii="Arial" w:hAnsi="Arial" w:eastAsia="Arial" w:cs="Arial"/>
          <w:b w:val="0"/>
          <w:i w:val="0"/>
          <w:sz w:val="22"/>
          <w:u w:val="none"/>
        </w:rPr>
        <w:t xml:space="preserve"> Cambridge University Press.</w:t>
      </w:r>
    </w:p>
    <w:p>
      <w:pPr>
        <w:pStyle w:val="MAKUReference"/>
      </w:pPr>
      <w:r>
        <w:rPr>
          <w:rFonts w:ascii="Arial" w:hAnsi="Arial" w:eastAsia="Arial" w:cs="Arial"/>
          <w:b w:val="0"/>
          <w:i w:val="0"/>
          <w:sz w:val="22"/>
          <w:u w:val="none"/>
        </w:rPr>
        <w:t xml:space="preserve">Council of Europe. (2020). </w:t>
      </w:r>
      <w:r>
        <w:rPr>
          <w:rFonts w:ascii="Arial" w:hAnsi="Arial" w:eastAsia="Arial" w:cs="Arial"/>
          <w:b w:val="0"/>
          <w:i/>
          <w:sz w:val="22"/>
          <w:u w:val="none"/>
        </w:rPr>
        <w:t>Common European framework of reference for languages: Learning, teaching, assessment—Companion volume.</w:t>
      </w:r>
      <w:r>
        <w:rPr>
          <w:rFonts w:ascii="Arial" w:hAnsi="Arial" w:eastAsia="Arial" w:cs="Arial"/>
          <w:b w:val="0"/>
          <w:i w:val="0"/>
          <w:sz w:val="22"/>
          <w:u w:val="none"/>
        </w:rPr>
        <w:t xml:space="preserve"> Council of Europe Publishing.</w:t>
      </w:r>
    </w:p>
    <w:p>
      <w:pPr>
        <w:pStyle w:val="MAKUReference"/>
      </w:pPr>
      <w:r>
        <w:rPr>
          <w:rFonts w:ascii="Arial" w:hAnsi="Arial" w:eastAsia="Arial" w:cs="Arial"/>
          <w:b w:val="0"/>
          <w:i w:val="0"/>
          <w:sz w:val="22"/>
          <w:u w:val="none"/>
        </w:rPr>
        <w:t xml:space="preserve">East, M. (Ed.). (2021). </w:t>
      </w:r>
      <w:r>
        <w:rPr>
          <w:rFonts w:ascii="Arial" w:hAnsi="Arial" w:eastAsia="Arial" w:cs="Arial"/>
          <w:b w:val="0"/>
          <w:i/>
          <w:sz w:val="22"/>
          <w:u w:val="none"/>
        </w:rPr>
        <w:t>The Routledge handbook of task-based language teaching.</w:t>
      </w:r>
      <w:r>
        <w:rPr>
          <w:rFonts w:ascii="Arial" w:hAnsi="Arial" w:eastAsia="Arial" w:cs="Arial"/>
          <w:b w:val="0"/>
          <w:i w:val="0"/>
          <w:sz w:val="22"/>
          <w:u w:val="none"/>
        </w:rPr>
        <w:t xml:space="preserve"> Routledge.</w:t>
      </w:r>
    </w:p>
    <w:p>
      <w:pPr>
        <w:pStyle w:val="MAKUReference"/>
      </w:pPr>
      <w:r>
        <w:rPr>
          <w:rFonts w:ascii="Arial" w:hAnsi="Arial" w:eastAsia="Arial" w:cs="Arial"/>
          <w:b w:val="0"/>
          <w:i w:val="0"/>
          <w:sz w:val="22"/>
          <w:u w:val="none"/>
        </w:rPr>
        <w:t xml:space="preserve">Echevarría, J., Vogt, M., &amp; Short, D. (2025). </w:t>
      </w:r>
      <w:r>
        <w:rPr>
          <w:rFonts w:ascii="Arial" w:hAnsi="Arial" w:eastAsia="Arial" w:cs="Arial"/>
          <w:b w:val="0"/>
          <w:i/>
          <w:sz w:val="22"/>
          <w:u w:val="none"/>
        </w:rPr>
        <w:t>Making content comprehensible for multilingual learners: The SIOP(R) model (6th ed.).</w:t>
      </w:r>
      <w:r>
        <w:rPr>
          <w:rFonts w:ascii="Arial" w:hAnsi="Arial" w:eastAsia="Arial" w:cs="Arial"/>
          <w:b w:val="0"/>
          <w:i w:val="0"/>
          <w:sz w:val="22"/>
          <w:u w:val="none"/>
        </w:rPr>
        <w:t xml:space="preserve"> Pearson.</w:t>
      </w:r>
    </w:p>
    <w:p>
      <w:pPr>
        <w:pStyle w:val="MAKUReference"/>
      </w:pPr>
      <w:r>
        <w:rPr>
          <w:rFonts w:ascii="Arial" w:hAnsi="Arial" w:eastAsia="Arial" w:cs="Arial"/>
          <w:b w:val="0"/>
          <w:i w:val="0"/>
          <w:sz w:val="22"/>
          <w:u w:val="none"/>
        </w:rPr>
        <w:t xml:space="preserve">Ellis, R. (2003). </w:t>
      </w:r>
      <w:r>
        <w:rPr>
          <w:rFonts w:ascii="Arial" w:hAnsi="Arial" w:eastAsia="Arial" w:cs="Arial"/>
          <w:b w:val="0"/>
          <w:i/>
          <w:sz w:val="22"/>
          <w:u w:val="none"/>
        </w:rPr>
        <w:t>Task-based language learning and teaching.</w:t>
      </w:r>
      <w:r>
        <w:rPr>
          <w:rFonts w:ascii="Arial" w:hAnsi="Arial" w:eastAsia="Arial" w:cs="Arial"/>
          <w:b w:val="0"/>
          <w:i w:val="0"/>
          <w:sz w:val="22"/>
          <w:u w:val="none"/>
        </w:rPr>
        <w:t xml:space="preserve"> Oxford University Press.</w:t>
      </w:r>
    </w:p>
    <w:p>
      <w:pPr>
        <w:pStyle w:val="MAKUReference"/>
      </w:pPr>
      <w:r>
        <w:rPr>
          <w:rFonts w:ascii="Arial" w:hAnsi="Arial" w:eastAsia="Arial" w:cs="Arial"/>
          <w:b w:val="0"/>
          <w:i w:val="0"/>
          <w:sz w:val="22"/>
          <w:u w:val="none"/>
        </w:rPr>
        <w:t xml:space="preserve">Farrell, T. S. C. (2019). </w:t>
      </w:r>
      <w:r>
        <w:rPr>
          <w:rFonts w:ascii="Arial" w:hAnsi="Arial" w:eastAsia="Arial" w:cs="Arial"/>
          <w:b w:val="0"/>
          <w:i/>
          <w:sz w:val="22"/>
          <w:u w:val="none"/>
        </w:rPr>
        <w:t>Reflective practice in ELT.</w:t>
      </w:r>
      <w:r>
        <w:rPr>
          <w:rFonts w:ascii="Arial" w:hAnsi="Arial" w:eastAsia="Arial" w:cs="Arial"/>
          <w:b w:val="0"/>
          <w:i w:val="0"/>
          <w:sz w:val="22"/>
          <w:u w:val="none"/>
        </w:rPr>
        <w:t xml:space="preserve"> Equinox.</w:t>
      </w:r>
    </w:p>
    <w:p>
      <w:pPr>
        <w:pStyle w:val="MAKUReference"/>
      </w:pPr>
      <w:r>
        <w:rPr>
          <w:rFonts w:ascii="Arial" w:hAnsi="Arial" w:eastAsia="Arial" w:cs="Arial"/>
          <w:b w:val="0"/>
          <w:i w:val="0"/>
          <w:sz w:val="22"/>
          <w:u w:val="none"/>
        </w:rPr>
        <w:t xml:space="preserve">Fulcher, G., &amp; Harding, L. (Eds.). (2020). </w:t>
      </w:r>
      <w:r>
        <w:rPr>
          <w:rFonts w:ascii="Arial" w:hAnsi="Arial" w:eastAsia="Arial" w:cs="Arial"/>
          <w:b w:val="0"/>
          <w:i/>
          <w:sz w:val="22"/>
          <w:u w:val="none"/>
        </w:rPr>
        <w:t>The Routledge handbook of language testing (2nd ed.).</w:t>
      </w:r>
      <w:r>
        <w:rPr>
          <w:rFonts w:ascii="Arial" w:hAnsi="Arial" w:eastAsia="Arial" w:cs="Arial"/>
          <w:b w:val="0"/>
          <w:i w:val="0"/>
          <w:sz w:val="22"/>
          <w:u w:val="none"/>
        </w:rPr>
        <w:t xml:space="preserve"> Routledge.</w:t>
      </w:r>
    </w:p>
    <w:p>
      <w:pPr>
        <w:pStyle w:val="MAKUReference"/>
      </w:pPr>
      <w:r>
        <w:rPr>
          <w:rFonts w:ascii="Arial" w:hAnsi="Arial" w:eastAsia="Arial" w:cs="Arial"/>
          <w:b w:val="0"/>
          <w:i w:val="0"/>
          <w:sz w:val="22"/>
          <w:u w:val="none"/>
        </w:rPr>
        <w:t xml:space="preserve">Harmer, J. (2015). </w:t>
      </w:r>
      <w:r>
        <w:rPr>
          <w:rFonts w:ascii="Arial" w:hAnsi="Arial" w:eastAsia="Arial" w:cs="Arial"/>
          <w:b w:val="0"/>
          <w:i/>
          <w:sz w:val="22"/>
          <w:u w:val="none"/>
        </w:rPr>
        <w:t>The practice of English language teaching (5th ed.).</w:t>
      </w:r>
      <w:r>
        <w:rPr>
          <w:rFonts w:ascii="Arial" w:hAnsi="Arial" w:eastAsia="Arial" w:cs="Arial"/>
          <w:b w:val="0"/>
          <w:i w:val="0"/>
          <w:sz w:val="22"/>
          <w:u w:val="none"/>
        </w:rPr>
        <w:t xml:space="preserve"> Pearson.</w:t>
      </w:r>
    </w:p>
    <w:p>
      <w:pPr>
        <w:pStyle w:val="MAKUReference"/>
      </w:pPr>
      <w:r>
        <w:rPr>
          <w:rFonts w:ascii="Arial" w:hAnsi="Arial" w:eastAsia="Arial" w:cs="Arial"/>
          <w:b w:val="0"/>
          <w:i w:val="0"/>
          <w:sz w:val="22"/>
          <w:u w:val="none"/>
        </w:rPr>
        <w:t xml:space="preserve">Hyland, K. (2019). </w:t>
      </w:r>
      <w:r>
        <w:rPr>
          <w:rFonts w:ascii="Arial" w:hAnsi="Arial" w:eastAsia="Arial" w:cs="Arial"/>
          <w:b w:val="0"/>
          <w:i/>
          <w:sz w:val="22"/>
          <w:u w:val="none"/>
        </w:rPr>
        <w:t>Second language writing (2nd ed.).</w:t>
      </w:r>
      <w:r>
        <w:rPr>
          <w:rFonts w:ascii="Arial" w:hAnsi="Arial" w:eastAsia="Arial" w:cs="Arial"/>
          <w:b w:val="0"/>
          <w:i w:val="0"/>
          <w:sz w:val="22"/>
          <w:u w:val="none"/>
        </w:rPr>
        <w:t xml:space="preserve"> Cambridge University Press.</w:t>
      </w:r>
    </w:p>
    <w:p>
      <w:pPr>
        <w:pStyle w:val="MAKUReference"/>
      </w:pPr>
      <w:r>
        <w:rPr>
          <w:rFonts w:ascii="Arial" w:hAnsi="Arial" w:eastAsia="Arial" w:cs="Arial"/>
          <w:b w:val="0"/>
          <w:i w:val="0"/>
          <w:sz w:val="22"/>
          <w:u w:val="none"/>
        </w:rPr>
        <w:t xml:space="preserve">Kişisel Verileri Koruma Kurumu. (2016). </w:t>
      </w:r>
      <w:r>
        <w:rPr>
          <w:rFonts w:ascii="Arial" w:hAnsi="Arial" w:eastAsia="Arial" w:cs="Arial"/>
          <w:b w:val="0"/>
          <w:i/>
          <w:sz w:val="22"/>
          <w:u w:val="none"/>
        </w:rPr>
        <w:t>6698 sayılı Kişisel Verilerin Korunması Kanunu (KVKK).</w:t>
      </w:r>
      <w:r>
        <w:rPr>
          <w:rFonts w:ascii="Arial" w:hAnsi="Arial" w:eastAsia="Arial" w:cs="Arial"/>
          <w:b w:val="0"/>
          <w:i w:val="0"/>
          <w:sz w:val="22"/>
          <w:u w:val="none"/>
        </w:rPr>
        <w:t xml:space="preserve"> T.C. Resmî Gazete.</w:t>
      </w:r>
    </w:p>
    <w:p>
      <w:pPr>
        <w:pStyle w:val="MAKUReference"/>
      </w:pPr>
      <w:r>
        <w:rPr>
          <w:rFonts w:ascii="Arial" w:hAnsi="Arial" w:eastAsia="Arial" w:cs="Arial"/>
          <w:b w:val="0"/>
          <w:i w:val="0"/>
          <w:sz w:val="22"/>
          <w:u w:val="none"/>
        </w:rPr>
        <w:t xml:space="preserve">Nassaji, H., &amp; Fotos, S. (2011). </w:t>
      </w:r>
      <w:r>
        <w:rPr>
          <w:rFonts w:ascii="Arial" w:hAnsi="Arial" w:eastAsia="Arial" w:cs="Arial"/>
          <w:b w:val="0"/>
          <w:i/>
          <w:sz w:val="22"/>
          <w:u w:val="none"/>
        </w:rPr>
        <w:t>Teaching grammar in second language classrooms: Integrating form-focused instruction in communicative context.</w:t>
      </w:r>
      <w:r>
        <w:rPr>
          <w:rFonts w:ascii="Arial" w:hAnsi="Arial" w:eastAsia="Arial" w:cs="Arial"/>
          <w:b w:val="0"/>
          <w:i w:val="0"/>
          <w:sz w:val="22"/>
          <w:u w:val="none"/>
        </w:rPr>
        <w:t xml:space="preserve"> Routledge.</w:t>
      </w:r>
    </w:p>
    <w:p>
      <w:pPr>
        <w:pStyle w:val="MAKUReference"/>
      </w:pPr>
      <w:r>
        <w:rPr>
          <w:rFonts w:ascii="Arial" w:hAnsi="Arial" w:eastAsia="Arial" w:cs="Arial"/>
          <w:b w:val="0"/>
          <w:i w:val="0"/>
          <w:sz w:val="22"/>
          <w:u w:val="none"/>
        </w:rPr>
        <w:t xml:space="preserve">Nation, I. S. P. (2009). </w:t>
      </w:r>
      <w:r>
        <w:rPr>
          <w:rFonts w:ascii="Arial" w:hAnsi="Arial" w:eastAsia="Arial" w:cs="Arial"/>
          <w:b w:val="0"/>
          <w:i/>
          <w:sz w:val="22"/>
          <w:u w:val="none"/>
        </w:rPr>
        <w:t>Teaching ESL/EFL reading and writing.</w:t>
      </w:r>
      <w:r>
        <w:rPr>
          <w:rFonts w:ascii="Arial" w:hAnsi="Arial" w:eastAsia="Arial" w:cs="Arial"/>
          <w:b w:val="0"/>
          <w:i w:val="0"/>
          <w:sz w:val="22"/>
          <w:u w:val="none"/>
        </w:rPr>
        <w:t xml:space="preserve"> Routledge.</w:t>
      </w:r>
    </w:p>
    <w:p>
      <w:pPr>
        <w:pStyle w:val="MAKUReference"/>
      </w:pPr>
      <w:r>
        <w:rPr>
          <w:rFonts w:ascii="Arial" w:hAnsi="Arial" w:eastAsia="Arial" w:cs="Arial"/>
          <w:b w:val="0"/>
          <w:i w:val="0"/>
          <w:sz w:val="22"/>
          <w:u w:val="none"/>
        </w:rPr>
        <w:t xml:space="preserve">Richards, J. C., &amp; Farrell, T. S. C. (2019). </w:t>
      </w:r>
      <w:r>
        <w:rPr>
          <w:rFonts w:ascii="Arial" w:hAnsi="Arial" w:eastAsia="Arial" w:cs="Arial"/>
          <w:b w:val="0"/>
          <w:i/>
          <w:sz w:val="22"/>
          <w:u w:val="none"/>
        </w:rPr>
        <w:t>Practice teaching: A reflective approach.</w:t>
      </w:r>
      <w:r>
        <w:rPr>
          <w:rFonts w:ascii="Arial" w:hAnsi="Arial" w:eastAsia="Arial" w:cs="Arial"/>
          <w:b w:val="0"/>
          <w:i w:val="0"/>
          <w:sz w:val="22"/>
          <w:u w:val="none"/>
        </w:rPr>
        <w:t xml:space="preserve"> Cambridge University Press.</w:t>
      </w:r>
    </w:p>
    <w:p>
      <w:pPr>
        <w:pStyle w:val="MAKUReference"/>
      </w:pPr>
      <w:r>
        <w:rPr>
          <w:rFonts w:ascii="Arial" w:hAnsi="Arial" w:eastAsia="Arial" w:cs="Arial"/>
          <w:b w:val="0"/>
          <w:i w:val="0"/>
          <w:sz w:val="22"/>
          <w:u w:val="none"/>
        </w:rPr>
        <w:t xml:space="preserve">Schmitt, N., &amp; Schmitt, D. (2020). </w:t>
      </w:r>
      <w:r>
        <w:rPr>
          <w:rFonts w:ascii="Arial" w:hAnsi="Arial" w:eastAsia="Arial" w:cs="Arial"/>
          <w:b w:val="0"/>
          <w:i/>
          <w:sz w:val="22"/>
          <w:u w:val="none"/>
        </w:rPr>
        <w:t>Vocabulary in language teaching (2nd ed.).</w:t>
      </w:r>
      <w:r>
        <w:rPr>
          <w:rFonts w:ascii="Arial" w:hAnsi="Arial" w:eastAsia="Arial" w:cs="Arial"/>
          <w:b w:val="0"/>
          <w:i w:val="0"/>
          <w:sz w:val="22"/>
          <w:u w:val="none"/>
        </w:rPr>
        <w:t xml:space="preserve"> Cambridge University Press.</w:t>
      </w:r>
    </w:p>
    <w:p>
      <w:pPr>
        <w:pStyle w:val="MAKUReference"/>
      </w:pPr>
      <w:r>
        <w:rPr>
          <w:rFonts w:ascii="Arial" w:hAnsi="Arial" w:eastAsia="Arial" w:cs="Arial"/>
          <w:b w:val="0"/>
          <w:i w:val="0"/>
          <w:sz w:val="22"/>
          <w:u w:val="none"/>
        </w:rPr>
        <w:t xml:space="preserve">Scrivener, J. (2011). </w:t>
      </w:r>
      <w:r>
        <w:rPr>
          <w:rFonts w:ascii="Arial" w:hAnsi="Arial" w:eastAsia="Arial" w:cs="Arial"/>
          <w:b w:val="0"/>
          <w:i/>
          <w:sz w:val="22"/>
          <w:u w:val="none"/>
        </w:rPr>
        <w:t>Learning teaching: The essential guide to English language teaching (3rd ed.).</w:t>
      </w:r>
      <w:r>
        <w:rPr>
          <w:rFonts w:ascii="Arial" w:hAnsi="Arial" w:eastAsia="Arial" w:cs="Arial"/>
          <w:b w:val="0"/>
          <w:i w:val="0"/>
          <w:sz w:val="22"/>
          <w:u w:val="none"/>
        </w:rPr>
        <w:t xml:space="preserve"> Macmillan Education.</w:t>
      </w:r>
    </w:p>
    <w:p>
      <w:pPr>
        <w:pStyle w:val="MAKUReference"/>
      </w:pPr>
      <w:r>
        <w:rPr>
          <w:rFonts w:ascii="Arial" w:hAnsi="Arial" w:eastAsia="Arial" w:cs="Arial"/>
          <w:b w:val="0"/>
          <w:i w:val="0"/>
          <w:sz w:val="22"/>
          <w:u w:val="none"/>
        </w:rPr>
        <w:t xml:space="preserve">T.C. Millî Eğitim Bakanlığı. (2021). </w:t>
      </w:r>
      <w:r>
        <w:rPr>
          <w:rFonts w:ascii="Arial" w:hAnsi="Arial" w:eastAsia="Arial" w:cs="Arial"/>
          <w:b w:val="0"/>
          <w:i/>
          <w:sz w:val="22"/>
          <w:u w:val="none"/>
        </w:rPr>
        <w:t>Uygulama öğrencilerinin Millî Eğitim Bakanlığına bağlı eğitim öğretim kurumlarında yapacakları öğretmenlik uygulamasına ilişkin yönerge.</w:t>
      </w:r>
      <w:r>
        <w:rPr>
          <w:rFonts w:ascii="Arial" w:hAnsi="Arial" w:eastAsia="Arial" w:cs="Arial"/>
          <w:b w:val="0"/>
          <w:i w:val="0"/>
          <w:sz w:val="22"/>
          <w:u w:val="none"/>
        </w:rPr>
        <w:t xml:space="preserve"> MEB Tebliğler Dergisi.</w:t>
      </w:r>
    </w:p>
    <w:p>
      <w:pPr>
        <w:pStyle w:val="MAKUReference"/>
      </w:pPr>
      <w:r>
        <w:rPr>
          <w:rFonts w:ascii="Arial" w:hAnsi="Arial" w:eastAsia="Arial" w:cs="Arial"/>
          <w:b w:val="0"/>
          <w:i w:val="0"/>
          <w:sz w:val="22"/>
          <w:u w:val="none"/>
        </w:rPr>
        <w:t xml:space="preserve">T.C. Millî Eğitim Bakanlığı. (2024). </w:t>
      </w:r>
      <w:r>
        <w:rPr>
          <w:rFonts w:ascii="Arial" w:hAnsi="Arial" w:eastAsia="Arial" w:cs="Arial"/>
          <w:b w:val="0"/>
          <w:i/>
          <w:sz w:val="22"/>
          <w:u w:val="none"/>
        </w:rPr>
        <w:t>Türkiye Yüzyılı Maarif Modeli: Ortak metin ve öğretim programları.</w:t>
      </w:r>
      <w:r>
        <w:rPr>
          <w:rFonts w:ascii="Arial" w:hAnsi="Arial" w:eastAsia="Arial" w:cs="Arial"/>
          <w:b w:val="0"/>
          <w:i w:val="0"/>
          <w:sz w:val="22"/>
          <w:u w:val="none"/>
        </w:rPr>
        <w:t xml:space="preserve"> Millî Eğitim Bakanlığı Yayınları.</w:t>
      </w:r>
    </w:p>
    <w:p>
      <w:pPr>
        <w:pStyle w:val="MAKUReference"/>
      </w:pPr>
      <w:r>
        <w:rPr>
          <w:rFonts w:ascii="Arial" w:hAnsi="Arial" w:eastAsia="Arial" w:cs="Arial"/>
          <w:b w:val="0"/>
          <w:i w:val="0"/>
          <w:sz w:val="22"/>
          <w:u w:val="none"/>
        </w:rPr>
        <w:t xml:space="preserve">Thornbury, S. (1999). </w:t>
      </w:r>
      <w:r>
        <w:rPr>
          <w:rFonts w:ascii="Arial" w:hAnsi="Arial" w:eastAsia="Arial" w:cs="Arial"/>
          <w:b w:val="0"/>
          <w:i/>
          <w:sz w:val="22"/>
          <w:u w:val="none"/>
        </w:rPr>
        <w:t>How to teach grammar.</w:t>
      </w:r>
      <w:r>
        <w:rPr>
          <w:rFonts w:ascii="Arial" w:hAnsi="Arial" w:eastAsia="Arial" w:cs="Arial"/>
          <w:b w:val="0"/>
          <w:i w:val="0"/>
          <w:sz w:val="22"/>
          <w:u w:val="none"/>
        </w:rPr>
        <w:t xml:space="preserve"> Pearson.</w:t>
      </w:r>
    </w:p>
    <w:p>
      <w:pPr>
        <w:pStyle w:val="MAKUReference"/>
      </w:pPr>
      <w:r>
        <w:rPr>
          <w:rFonts w:ascii="Arial" w:hAnsi="Arial" w:eastAsia="Arial" w:cs="Arial"/>
          <w:b w:val="0"/>
          <w:i w:val="0"/>
          <w:sz w:val="22"/>
          <w:u w:val="none"/>
        </w:rPr>
        <w:t xml:space="preserve">Thornbury, S. (2005). </w:t>
      </w:r>
      <w:r>
        <w:rPr>
          <w:rFonts w:ascii="Arial" w:hAnsi="Arial" w:eastAsia="Arial" w:cs="Arial"/>
          <w:b w:val="0"/>
          <w:i/>
          <w:sz w:val="22"/>
          <w:u w:val="none"/>
        </w:rPr>
        <w:t>How to teach speaking.</w:t>
      </w:r>
      <w:r>
        <w:rPr>
          <w:rFonts w:ascii="Arial" w:hAnsi="Arial" w:eastAsia="Arial" w:cs="Arial"/>
          <w:b w:val="0"/>
          <w:i w:val="0"/>
          <w:sz w:val="22"/>
          <w:u w:val="none"/>
        </w:rPr>
        <w:t xml:space="preserve"> Pearson.</w:t>
      </w:r>
    </w:p>
    <w:p>
      <w:pPr>
        <w:pStyle w:val="MAKUReference"/>
      </w:pPr>
      <w:r>
        <w:rPr>
          <w:rFonts w:ascii="Arial" w:hAnsi="Arial" w:eastAsia="Arial" w:cs="Arial"/>
          <w:b w:val="0"/>
          <w:i w:val="0"/>
          <w:sz w:val="22"/>
          <w:u w:val="none"/>
        </w:rPr>
        <w:t xml:space="preserve">UNESCO. (2023). </w:t>
      </w:r>
      <w:r>
        <w:rPr>
          <w:rFonts w:ascii="Arial" w:hAnsi="Arial" w:eastAsia="Arial" w:cs="Arial"/>
          <w:b w:val="0"/>
          <w:i/>
          <w:sz w:val="22"/>
          <w:u w:val="none"/>
        </w:rPr>
        <w:t>Guidance for generative AI in education and research.</w:t>
      </w:r>
      <w:r>
        <w:rPr>
          <w:rFonts w:ascii="Arial" w:hAnsi="Arial" w:eastAsia="Arial" w:cs="Arial"/>
          <w:b w:val="0"/>
          <w:i w:val="0"/>
          <w:sz w:val="22"/>
          <w:u w:val="none"/>
        </w:rPr>
        <w:t xml:space="preserve"> UNESCO Publishing.</w:t>
      </w:r>
    </w:p>
    <w:p>
      <w:pPr>
        <w:pStyle w:val="MAKUReference"/>
      </w:pPr>
      <w:r>
        <w:rPr>
          <w:rFonts w:ascii="Arial" w:hAnsi="Arial" w:eastAsia="Arial" w:cs="Arial"/>
          <w:b w:val="0"/>
          <w:i w:val="0"/>
          <w:sz w:val="22"/>
          <w:u w:val="none"/>
        </w:rPr>
        <w:t xml:space="preserve">Walsh, S., &amp; Mann, S. (Eds.). (2019). </w:t>
      </w:r>
      <w:r>
        <w:rPr>
          <w:rFonts w:ascii="Arial" w:hAnsi="Arial" w:eastAsia="Arial" w:cs="Arial"/>
          <w:b w:val="0"/>
          <w:i/>
          <w:sz w:val="22"/>
          <w:u w:val="none"/>
        </w:rPr>
        <w:t>The Routledge handbook of English language teacher education.</w:t>
      </w:r>
      <w:r>
        <w:rPr>
          <w:rFonts w:ascii="Arial" w:hAnsi="Arial" w:eastAsia="Arial" w:cs="Arial"/>
          <w:b w:val="0"/>
          <w:i w:val="0"/>
          <w:sz w:val="22"/>
          <w:u w:val="none"/>
        </w:rPr>
        <w:t xml:space="preserve"> Routledge.</w:t>
      </w:r>
    </w:p>
    <w:sectPr>
      <w:footerReference w:type="default" r:id="rId2"/>
      <w:footerReference w:type="first" r:id="rId3"/>
      <w:pgSz w:w="11906" w:h="16838"/>
      <w:pgMar w:top="1020" w:right="964" w:bottom="1020" w:left="964" w:header="567" w:footer="567" w:gutter="0"/>
      <w:titlePg/>
    </w:sectPr>
  </w:body>
</w:document>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80" w:after="0"/>
      <w:jc w:val="center"/>
      <w:pBdr>
        <w:top w:val="single" w:sz="4" w:space="3" w:color="B7B7B7"/>
      </w:pBdr>
    </w:pPr>
    <w:r>
      <w:rPr>
        <w:rFonts w:ascii="Arial" w:hAnsi="Arial" w:eastAsia="Arial" w:cs="Arial"/>
        <w:lang w:val="en-US" w:eastAsia="en-US"/>
        <w:sz w:val="18"/>
        <w:color w:val="7F7F7F"/>
      </w:rPr>
      <w:fldChar w:fldCharType="begin"/>
    </w:r>
    <w:r>
      <w:rPr>
        <w:rFonts w:ascii="Arial" w:hAnsi="Arial" w:eastAsia="Arial" w:cs="Arial"/>
        <w:lang w:val="en-US" w:eastAsia="en-US"/>
        <w:sz w:val="18"/>
        <w:color w:val="7F7F7F"/>
      </w:rPr>
      <w:instrText xml:space="preserve"> PAGE </w:instrText>
    </w:r>
    <w:r>
      <w:rPr>
        <w:rFonts w:ascii="Arial" w:hAnsi="Arial" w:eastAsia="Arial" w:cs="Arial"/>
        <w:lang w:val="en-US" w:eastAsia="en-US"/>
        <w:sz w:val="18"/>
        <w:color w:val="7F7F7F"/>
      </w:rPr>
      <w:fldChar w:fldCharType="separate"/>
    </w:r>
    <w:r>
      <w:rPr>
        <w:rFonts w:ascii="Arial" w:hAnsi="Arial" w:eastAsia="Arial" w:cs="Arial"/>
        <w:lang w:val="en-US" w:eastAsia="en-US"/>
        <w:sz w:val="18"/>
        <w:color w:val="7F7F7F"/>
      </w:rPr>
      <w:t>1</w:t>
    </w:r>
    <w:r>
      <w:rPr>
        <w:rFonts w:ascii="Arial" w:hAnsi="Arial" w:eastAsia="Arial" w:cs="Arial"/>
        <w:lang w:val="en-US" w:eastAsia="en-US"/>
        <w:sz w:val="18"/>
        <w:color w:val="7F7F7F"/>
      </w:rPr>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styles.xml><?xml version="1.0" encoding="utf-8"?>
<w:styles xmlns:w="http://schemas.openxmlformats.org/wordprocessingml/2006/main">
  <w:docDefaults>
    <w:rPrDefault>
      <w:rPr>
        <w:rFonts w:ascii="Arial" w:hAnsi="Arial" w:eastAsia="Arial" w:cs="Arial"/>
        <w:sz w:val="22"/>
        <w:szCs w:val="22"/>
        <w:lang w:val="en-US" w:eastAsia="en-US" w:bidi="ar-SA"/>
        <w:color w:val="000000"/>
      </w:rPr>
    </w:rPrDefault>
  </w:docDefaults>
  <w:style w:type="paragraph" w:customStyle="1" w:styleId="Normal" w:default="1">
    <w:name w:val="Normal"/>
    <w:pPr>
      <w:keepNext w:val="0"/>
      <w:keepLines w:val="0"/>
      <w:widowControl/>
      <w:spacing w:before="0" w:after="100" w:line="264" w:lineRule="auto"/>
      <w:jc w:val="left"/>
    </w:pPr>
    <w:rPr>
      <w:rFonts w:ascii="Arial" w:hAnsi="Arial" w:eastAsia="Arial" w:cs="Arial"/>
      <w:b w:val="0"/>
      <w:i w:val="0"/>
      <w:color w:val="000000"/>
      <w:sz w:val="22"/>
      <w:u w:val="none"/>
      <w:lang w:val="en-US" w:eastAsia="en-US"/>
    </w:rPr>
  </w:style>
  <w:style w:type="paragraph" w:customStyle="1" w:styleId="Title">
    <w:name w:val="Title"/>
    <w:pPr>
      <w:keepNext/>
      <w:keepLines w:val="0"/>
      <w:widowControl/>
      <w:spacing w:before="1240" w:after="320" w:line="240" w:lineRule="auto"/>
      <w:jc w:val="center"/>
    </w:pPr>
    <w:rPr>
      <w:rFonts w:ascii="Arial" w:hAnsi="Arial" w:eastAsia="Arial" w:cs="Arial"/>
      <w:b/>
      <w:i w:val="0"/>
      <w:color w:val="000000"/>
      <w:sz w:val="30"/>
      <w:u w:val="none"/>
      <w:lang w:val="en-US" w:eastAsia="en-US"/>
    </w:rPr>
  </w:style>
  <w:style w:type="paragraph" w:customStyle="1" w:styleId="MAKUCoverCountry">
    <w:name w:val="MAKU Cover Country"/>
    <w:pPr>
      <w:keepNext/>
      <w:keepLines w:val="0"/>
      <w:widowControl/>
      <w:spacing w:before="1080" w:after="160" w:line="240" w:lineRule="auto"/>
      <w:jc w:val="center"/>
    </w:pPr>
    <w:rPr>
      <w:rFonts w:ascii="Arial" w:hAnsi="Arial" w:eastAsia="Arial" w:cs="Arial"/>
      <w:b/>
      <w:i w:val="0"/>
      <w:color w:val="7F7F7F"/>
      <w:sz w:val="20"/>
      <w:u w:val="none"/>
      <w:lang w:val="en-US" w:eastAsia="en-US"/>
    </w:rPr>
  </w:style>
  <w:style w:type="paragraph" w:customStyle="1" w:styleId="MAKUCoverInstitution">
    <w:name w:val="MAKU Cover Institution"/>
    <w:pPr>
      <w:keepNext/>
      <w:keepLines w:val="0"/>
      <w:widowControl/>
      <w:spacing w:before="0" w:after="100" w:line="240" w:lineRule="auto"/>
      <w:jc w:val="center"/>
    </w:pPr>
    <w:rPr>
      <w:rFonts w:ascii="Arial" w:hAnsi="Arial" w:eastAsia="Arial" w:cs="Arial"/>
      <w:b/>
      <w:i w:val="0"/>
      <w:color w:val="000000"/>
      <w:sz w:val="22"/>
      <w:u w:val="none"/>
      <w:lang w:val="en-US" w:eastAsia="en-US"/>
    </w:rPr>
  </w:style>
  <w:style w:type="paragraph" w:customStyle="1" w:styleId="MAKUCoverUnit">
    <w:name w:val="MAKU Cover Unit"/>
    <w:pPr>
      <w:keepNext/>
      <w:keepLines w:val="0"/>
      <w:widowControl/>
      <w:spacing w:before="0" w:after="0" w:line="240" w:lineRule="auto"/>
      <w:jc w:val="center"/>
    </w:pPr>
    <w:rPr>
      <w:rFonts w:ascii="Arial" w:hAnsi="Arial" w:eastAsia="Arial" w:cs="Arial"/>
      <w:b/>
      <w:i w:val="0"/>
      <w:color w:val="000000"/>
      <w:sz w:val="21"/>
      <w:u w:val="none"/>
      <w:lang w:val="en-US" w:eastAsia="en-US"/>
    </w:rPr>
  </w:style>
  <w:style w:type="paragraph" w:customStyle="1" w:styleId="MAKUCoverMeta">
    <w:name w:val="MAKU Cover Meta"/>
    <w:pPr>
      <w:keepNext w:val="0"/>
      <w:keepLines w:val="0"/>
      <w:widowControl/>
      <w:spacing w:before="1920" w:after="0" w:line="240" w:lineRule="auto"/>
      <w:jc w:val="center"/>
    </w:pPr>
    <w:rPr>
      <w:rFonts w:ascii="Arial" w:hAnsi="Arial" w:eastAsia="Arial" w:cs="Arial"/>
      <w:b w:val="0"/>
      <w:i w:val="0"/>
      <w:color w:val="7F7F7F"/>
      <w:sz w:val="20"/>
      <w:u w:val="none"/>
      <w:lang w:val="en-US" w:eastAsia="en-US"/>
    </w:rPr>
  </w:style>
  <w:style w:type="paragraph" w:customStyle="1" w:styleId="Heading1">
    <w:name w:val="heading 1"/>
    <w:pPr>
      <w:keepNext/>
      <w:keepLines/>
      <w:widowControl/>
      <w:spacing w:before="280" w:after="140" w:line="240" w:lineRule="auto"/>
      <w:jc w:val="left"/>
      <w:outlineLvl w:val="0"/>
    </w:pPr>
    <w:rPr>
      <w:rFonts w:ascii="Arial" w:hAnsi="Arial" w:eastAsia="Arial" w:cs="Arial"/>
      <w:b/>
      <w:i w:val="0"/>
      <w:color w:val="000000"/>
      <w:sz w:val="30"/>
      <w:u w:val="none"/>
      <w:lang w:val="en-US" w:eastAsia="en-US"/>
    </w:rPr>
    <w:qFormat/>
  </w:style>
  <w:style w:type="paragraph" w:customStyle="1" w:styleId="Heading2">
    <w:name w:val="heading 2"/>
    <w:pPr>
      <w:keepNext/>
      <w:keepLines/>
      <w:widowControl/>
      <w:spacing w:before="200" w:after="80" w:line="240" w:lineRule="auto"/>
      <w:jc w:val="left"/>
      <w:outlineLvl w:val="1"/>
    </w:pPr>
    <w:rPr>
      <w:rFonts w:ascii="Arial" w:hAnsi="Arial" w:eastAsia="Arial" w:cs="Arial"/>
      <w:b/>
      <w:i w:val="0"/>
      <w:color w:val="000000"/>
      <w:sz w:val="26"/>
      <w:u w:val="none"/>
      <w:lang w:val="en-US" w:eastAsia="en-US"/>
    </w:rPr>
    <w:qFormat/>
  </w:style>
  <w:style w:type="paragraph" w:customStyle="1" w:styleId="Heading3">
    <w:name w:val="heading 3"/>
    <w:pPr>
      <w:keepNext/>
      <w:keepLines/>
      <w:widowControl/>
      <w:spacing w:before="160" w:after="60" w:line="240" w:lineRule="auto"/>
      <w:jc w:val="left"/>
      <w:outlineLvl w:val="2"/>
    </w:pPr>
    <w:rPr>
      <w:rFonts w:ascii="Arial" w:hAnsi="Arial" w:eastAsia="Arial" w:cs="Arial"/>
      <w:b/>
      <w:i w:val="0"/>
      <w:color w:val="000000"/>
      <w:sz w:val="22"/>
      <w:u w:val="none"/>
      <w:lang w:val="en-US" w:eastAsia="en-US"/>
    </w:rPr>
    <w:qFormat/>
  </w:style>
  <w:style w:type="paragraph" w:customStyle="1" w:styleId="MAKUBullet">
    <w:name w:val="MAKU Bullet"/>
    <w:pPr>
      <w:keepNext w:val="0"/>
      <w:keepLines w:val="0"/>
      <w:widowControl/>
      <w:spacing w:before="0" w:after="50" w:line="254" w:lineRule="auto"/>
      <w:ind w:left="340" w:hanging="227"/>
      <w:jc w:val="left"/>
    </w:pPr>
    <w:rPr>
      <w:rFonts w:ascii="Arial" w:hAnsi="Arial" w:eastAsia="Arial" w:cs="Arial"/>
      <w:b w:val="0"/>
      <w:i w:val="0"/>
      <w:color w:val="000000"/>
      <w:sz w:val="22"/>
      <w:u w:val="none"/>
      <w:lang w:val="en-US" w:eastAsia="en-US"/>
    </w:rPr>
  </w:style>
  <w:style w:type="paragraph" w:customStyle="1" w:styleId="MAKUReference">
    <w:name w:val="MAKU Reference"/>
    <w:pPr>
      <w:keepNext w:val="0"/>
      <w:keepLines/>
      <w:widowControl/>
      <w:spacing w:before="0" w:after="0" w:line="480" w:lineRule="auto"/>
      <w:ind w:left="720" w:hanging="720"/>
      <w:jc w:val="left"/>
    </w:pPr>
    <w:rPr>
      <w:rFonts w:ascii="Arial" w:hAnsi="Arial" w:eastAsia="Arial" w:cs="Arial"/>
      <w:b w:val="0"/>
      <w:i w:val="0"/>
      <w:color w:val="000000"/>
      <w:sz w:val="22"/>
      <w:u w:val="none"/>
      <w:lang w:val="en-US" w:eastAsia="en-US"/>
    </w:rPr>
  </w:style>
  <w:style w:type="paragraph" w:customStyle="1" w:styleId="MAKUSpacer">
    <w:name w:val="MAKU Spacer"/>
    <w:pPr>
      <w:keepNext w:val="0"/>
      <w:keepLines w:val="0"/>
      <w:widowControl/>
      <w:spacing w:before="0" w:after="60" w:line="240" w:lineRule="auto"/>
      <w:jc w:val="left"/>
    </w:pPr>
    <w:rPr>
      <w:rFonts w:ascii="Arial" w:hAnsi="Arial" w:eastAsia="Arial" w:cs="Arial"/>
      <w:b w:val="0"/>
      <w:i w:val="0"/>
      <w:color w:val="000000"/>
      <w:sz w:val="2"/>
      <w:u w:val="none"/>
      <w:lang w:val="en-US" w:eastAsia="en-US"/>
    </w:rPr>
  </w:style>
  <w:style w:type="paragraph" w:customStyle="1" w:styleId="MAKUTableHeader">
    <w:name w:val="MAKU Table Header"/>
    <w:pPr>
      <w:keepNext w:val="0"/>
      <w:keepLines/>
      <w:widowControl/>
      <w:spacing w:before="0" w:after="0" w:line="240" w:lineRule="auto"/>
      <w:jc w:val="center"/>
    </w:pPr>
    <w:rPr>
      <w:rFonts w:ascii="Arial" w:hAnsi="Arial" w:eastAsia="Arial" w:cs="Arial"/>
      <w:b/>
      <w:i w:val="0"/>
      <w:color w:val="FFFFFF"/>
      <w:sz w:val="19"/>
      <w:u w:val="none"/>
      <w:lang w:val="en-US" w:eastAsia="en-US"/>
    </w:rPr>
  </w:style>
  <w:style w:type="paragraph" w:customStyle="1" w:styleId="MAKUTableBody">
    <w:name w:val="MAKU Table Body"/>
    <w:pPr>
      <w:keepNext w:val="0"/>
      <w:keepLines w:val="0"/>
      <w:widowControl/>
      <w:spacing w:before="0" w:after="0" w:line="240" w:lineRule="auto"/>
      <w:jc w:val="left"/>
    </w:pPr>
    <w:rPr>
      <w:rFonts w:ascii="Arial" w:hAnsi="Arial" w:eastAsia="Arial" w:cs="Arial"/>
      <w:b w:val="0"/>
      <w:i w:val="0"/>
      <w:color w:val="000000"/>
      <w:sz w:val="19"/>
      <w:u w:val="none"/>
      <w:lang w:val="en-US" w:eastAsia="en-US"/>
    </w:rPr>
  </w:style>
  <w:style w:type="paragraph" w:customStyle="1" w:styleId="MAKUTableLabel">
    <w:name w:val="MAKU Table Label"/>
    <w:pPr>
      <w:keepNext w:val="0"/>
      <w:keepLines w:val="0"/>
      <w:widowControl/>
      <w:spacing w:before="0" w:after="0" w:line="240" w:lineRule="auto"/>
      <w:jc w:val="left"/>
    </w:pPr>
    <w:rPr>
      <w:rFonts w:ascii="Arial" w:hAnsi="Arial" w:eastAsia="Arial" w:cs="Arial"/>
      <w:b/>
      <w:i w:val="0"/>
      <w:color w:val="000000"/>
      <w:sz w:val="19"/>
      <w:u w:val="none"/>
      <w:lang w:val="en-US" w:eastAsia="en-US"/>
    </w:rPr>
  </w:style>
  <w:style w:type="paragraph" w:customStyle="1" w:styleId="MAKUTableBullet">
    <w:name w:val="MAKU Table Bullet"/>
    <w:pPr>
      <w:keepNext w:val="0"/>
      <w:keepLines w:val="0"/>
      <w:widowControl/>
      <w:spacing w:before="0" w:after="20" w:line="240" w:lineRule="auto"/>
      <w:ind w:left="227" w:hanging="181"/>
      <w:jc w:val="left"/>
    </w:pPr>
    <w:rPr>
      <w:rFonts w:ascii="Arial" w:hAnsi="Arial" w:eastAsia="Arial" w:cs="Arial"/>
      <w:b w:val="0"/>
      <w:i w:val="0"/>
      <w:color w:val="000000"/>
      <w:sz w:val="19"/>
      <w:u w:val="none"/>
      <w:lang w:val="en-US" w:eastAsia="en-US"/>
    </w:rPr>
  </w:style>
  <w:style w:type="paragraph" w:customStyle="1" w:styleId="MAKUTableTotal">
    <w:name w:val="MAKU Table Total"/>
    <w:pPr>
      <w:keepNext w:val="0"/>
      <w:keepLines w:val="0"/>
      <w:widowControl/>
      <w:spacing w:before="0" w:after="0" w:line="240" w:lineRule="auto"/>
      <w:jc w:val="left"/>
    </w:pPr>
    <w:rPr>
      <w:rFonts w:ascii="Arial" w:hAnsi="Arial" w:eastAsia="Arial" w:cs="Arial"/>
      <w:b/>
      <w:i w:val="0"/>
      <w:color w:val="000000"/>
      <w:sz w:val="19"/>
      <w:u w:val="none"/>
      <w:lang w:val="en-US" w:eastAsia="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s>
</file>